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346A3" w:rsidR="006E3466" w:rsidP="00E346A3" w:rsidRDefault="00E346A3">
      <w:pPr>
        <w:jc w:val="center"/>
        <w:rPr>
          <w:b/>
          <w:u w:val="single"/>
        </w:rPr>
      </w:pPr>
      <w:r w:rsidRPr="00E346A3">
        <w:rPr>
          <w:b/>
          <w:u w:val="single"/>
        </w:rPr>
        <w:t xml:space="preserve">Data </w:t>
      </w:r>
      <w:r w:rsidRPr="00E346A3" w:rsidR="001831EF">
        <w:rPr>
          <w:b/>
          <w:u w:val="single"/>
        </w:rPr>
        <w:t>Protection</w:t>
      </w:r>
      <w:r w:rsidRPr="00E346A3">
        <w:rPr>
          <w:b/>
          <w:u w:val="single"/>
        </w:rPr>
        <w:t xml:space="preserve"> Policy</w:t>
      </w:r>
    </w:p>
    <w:p w:rsidR="001831EF" w:rsidRDefault="001831EF"/>
    <w:p w:rsidR="001831EF" w:rsidP="00F63DB7" w:rsidRDefault="001831EF">
      <w:pPr>
        <w:jc w:val="both"/>
      </w:pPr>
      <w:r>
        <w:t xml:space="preserve">Your privacy is important to Rosenthal &amp; Rosenthal, Inc.  </w:t>
      </w:r>
      <w:r w:rsidR="00FC77F3">
        <w:t>Our</w:t>
      </w:r>
      <w:r w:rsidR="00F63DB7">
        <w:t xml:space="preserve"> </w:t>
      </w:r>
      <w:r w:rsidR="00540941">
        <w:t>information security program</w:t>
      </w:r>
      <w:r>
        <w:t xml:space="preserve"> </w:t>
      </w:r>
      <w:r w:rsidR="00F63DB7">
        <w:t>(“Data Protection Policy”)</w:t>
      </w:r>
      <w:r w:rsidR="00D73C4D">
        <w:t xml:space="preserve"> is effective as of February 2023 and</w:t>
      </w:r>
      <w:r w:rsidR="00F63DB7">
        <w:t xml:space="preserve"> </w:t>
      </w:r>
      <w:r>
        <w:t xml:space="preserve">explains the </w:t>
      </w:r>
      <w:r w:rsidR="00F63DB7">
        <w:t xml:space="preserve">administrative, technical, and physical </w:t>
      </w:r>
      <w:r w:rsidR="00306F3F">
        <w:t>safeguards</w:t>
      </w:r>
      <w:r w:rsidR="00F63DB7">
        <w:t xml:space="preserve"> Rosenthal &amp; Rosenthal, Inc. (“</w:t>
      </w:r>
      <w:r w:rsidR="00E77835">
        <w:t>Rosenthal &amp; Rosenthal</w:t>
      </w:r>
      <w:r w:rsidR="00F63DB7">
        <w:t xml:space="preserve">” or “we”, “us” or “our”) has in place to protect the data that it collects, creates, uses, and maintains.  </w:t>
      </w:r>
    </w:p>
    <w:p w:rsidR="001831EF" w:rsidP="00F63DB7" w:rsidRDefault="001831EF">
      <w:pPr>
        <w:jc w:val="both"/>
      </w:pPr>
    </w:p>
    <w:p w:rsidRPr="00E77835" w:rsidR="00E77835" w:rsidP="00F63DB7" w:rsidRDefault="00E77835">
      <w:pPr>
        <w:jc w:val="both"/>
        <w:rPr>
          <w:b/>
        </w:rPr>
      </w:pPr>
      <w:r w:rsidRPr="00E77835">
        <w:rPr>
          <w:b/>
        </w:rPr>
        <w:t>Updates to this Data Protection Policy</w:t>
      </w:r>
    </w:p>
    <w:p w:rsidR="00E346A3" w:rsidP="00F63DB7" w:rsidRDefault="00E77835">
      <w:pPr>
        <w:jc w:val="both"/>
      </w:pPr>
      <w:r>
        <w:t xml:space="preserve">This </w:t>
      </w:r>
      <w:r w:rsidRPr="000E4590">
        <w:t xml:space="preserve">Data Protection Policy </w:t>
      </w:r>
      <w:r>
        <w:t xml:space="preserve">is subject to change. We update this </w:t>
      </w:r>
      <w:r w:rsidRPr="000E4590">
        <w:t xml:space="preserve">Data Protection Policy </w:t>
      </w:r>
      <w:r>
        <w:t xml:space="preserve">periodically </w:t>
      </w:r>
      <w:r w:rsidR="00E75544">
        <w:t>as warranted</w:t>
      </w:r>
      <w:r>
        <w:t>.</w:t>
      </w:r>
      <w:r w:rsidR="00FC77F3">
        <w:t xml:space="preserve"> </w:t>
      </w:r>
      <w:r>
        <w:t xml:space="preserve"> </w:t>
      </w:r>
      <w:r w:rsidRPr="000509AB" w:rsidR="00A63E71">
        <w:t xml:space="preserve">As a part of developing and implementing this Data Protection Policy, Rosenthal &amp; Rosenthal will conduct and base its </w:t>
      </w:r>
      <w:r w:rsidR="00A63E71">
        <w:t>information security program</w:t>
      </w:r>
      <w:r w:rsidRPr="000509AB" w:rsidR="00A63E71">
        <w:t xml:space="preserve"> on a periodic, documented risk assessment, whenever there is a material change in Rosenthal &amp; Rosenthal</w:t>
      </w:r>
      <w:r w:rsidR="00A63E71">
        <w:t>’</w:t>
      </w:r>
      <w:r w:rsidRPr="000509AB" w:rsidR="00A63E71">
        <w:t>s business practices that may implicate the security, confidentiality, integrity, or av</w:t>
      </w:r>
      <w:r w:rsidRPr="00293A02" w:rsidR="00A63E71">
        <w:t xml:space="preserve">ailability of records containing </w:t>
      </w:r>
      <w:r w:rsidR="00A63E71">
        <w:t>information</w:t>
      </w:r>
      <w:r w:rsidR="00E75544">
        <w:t>, or when circumstances so require</w:t>
      </w:r>
      <w:r w:rsidR="00A63E71">
        <w:t xml:space="preserve">. </w:t>
      </w:r>
      <w:r w:rsidRPr="000E4590">
        <w:t>This Data Protection Policy has been developed in accordance with</w:t>
      </w:r>
      <w:r w:rsidR="00E75544">
        <w:t xml:space="preserve">, </w:t>
      </w:r>
      <w:r w:rsidR="00E75544">
        <w:rPr>
          <w:i/>
        </w:rPr>
        <w:t>inter alia</w:t>
      </w:r>
      <w:r w:rsidR="00E75544">
        <w:t>,</w:t>
      </w:r>
      <w:r w:rsidRPr="000E4590">
        <w:t xml:space="preserve"> the requirements of the </w:t>
      </w:r>
      <w:r w:rsidRPr="00902DFA">
        <w:t>Gramm-Leach-Bliley Act Safeguards Rule, 16 C.F.R. §§ 314.1 to 314.6,</w:t>
      </w:r>
      <w:r>
        <w:t xml:space="preserve"> </w:t>
      </w:r>
      <w:r w:rsidR="00FC77F3">
        <w:t xml:space="preserve">the </w:t>
      </w:r>
      <w:r w:rsidRPr="00902DFA" w:rsidR="00FC77F3">
        <w:t>Massachusetts Data Security Regulation, 201 Code Mass. Regs. 17.01 to 17.05,</w:t>
      </w:r>
      <w:r w:rsidR="00FC77F3">
        <w:t xml:space="preserve"> </w:t>
      </w:r>
      <w:r>
        <w:t>and</w:t>
      </w:r>
      <w:r w:rsidRPr="00902DFA">
        <w:t xml:space="preserve"> other similar US state laws</w:t>
      </w:r>
      <w:r w:rsidR="00E75544">
        <w:t>, however, this should not be construed as a concession by Rosenthal &amp; Rosenthal as to the applicability of any particular law or regulation to its operations, including with respect to the collection, protection and/or dissemination of data</w:t>
      </w:r>
      <w:r w:rsidRPr="00902DFA">
        <w:t>.</w:t>
      </w:r>
    </w:p>
    <w:p w:rsidR="00E77835" w:rsidP="00F63DB7" w:rsidRDefault="00E77835">
      <w:pPr>
        <w:jc w:val="both"/>
      </w:pPr>
    </w:p>
    <w:p w:rsidRPr="00E77835" w:rsidR="00E77835" w:rsidP="00F63DB7" w:rsidRDefault="00E77835">
      <w:pPr>
        <w:jc w:val="both"/>
        <w:rPr>
          <w:b/>
        </w:rPr>
      </w:pPr>
      <w:r w:rsidRPr="00E77835">
        <w:rPr>
          <w:b/>
        </w:rPr>
        <w:t>Purpose of the Data Protection Policy</w:t>
      </w:r>
    </w:p>
    <w:p w:rsidR="00E77835" w:rsidP="003238A3" w:rsidRDefault="00E77835">
      <w:pPr>
        <w:spacing w:after="240"/>
        <w:jc w:val="both"/>
      </w:pPr>
      <w:r w:rsidRPr="00A810C4">
        <w:t>The purpose of</w:t>
      </w:r>
      <w:r w:rsidR="00FC77F3">
        <w:t xml:space="preserve"> our</w:t>
      </w:r>
      <w:r w:rsidRPr="00A810C4">
        <w:t xml:space="preserve"> Data Protection Policy is to enable Rosenthal &amp; Rosenthal to</w:t>
      </w:r>
      <w:r w:rsidR="00E75544">
        <w:t xml:space="preserve"> the extent practicable, to</w:t>
      </w:r>
      <w:r w:rsidRPr="00A810C4">
        <w:t>:</w:t>
      </w:r>
    </w:p>
    <w:p w:rsidR="00E77835" w:rsidP="003238A3" w:rsidRDefault="00E77835">
      <w:pPr>
        <w:pStyle w:val="ListParagraph"/>
        <w:numPr>
          <w:ilvl w:val="0"/>
          <w:numId w:val="2"/>
        </w:numPr>
        <w:spacing w:after="120"/>
        <w:contextualSpacing w:val="0"/>
        <w:jc w:val="both"/>
      </w:pPr>
      <w:bookmarkStart w:name="a000105" w:id="0"/>
      <w:r w:rsidRPr="000E4590">
        <w:t>Ensure the security, confidentiality, integrity, and availability of</w:t>
      </w:r>
      <w:r w:rsidR="00E75544">
        <w:t xml:space="preserve"> electronically stored</w:t>
      </w:r>
      <w:r w:rsidRPr="000E4590">
        <w:t xml:space="preserve"> </w:t>
      </w:r>
      <w:r w:rsidR="00E70C06">
        <w:t>information</w:t>
      </w:r>
      <w:r>
        <w:t xml:space="preserve"> </w:t>
      </w:r>
      <w:r w:rsidRPr="00902DFA">
        <w:t>Rosenthal &amp; Rosenthal collects, creates, uses, maintains</w:t>
      </w:r>
      <w:bookmarkStart w:name="a000106" w:id="1"/>
      <w:bookmarkEnd w:id="0"/>
      <w:r w:rsidR="00E75544">
        <w:t xml:space="preserve"> and/or disseminates (“Data”)</w:t>
      </w:r>
      <w:r w:rsidR="006E00B7">
        <w:t>;</w:t>
      </w:r>
    </w:p>
    <w:p w:rsidR="00E77835" w:rsidP="003238A3" w:rsidRDefault="00E77835">
      <w:pPr>
        <w:pStyle w:val="ListParagraph"/>
        <w:numPr>
          <w:ilvl w:val="0"/>
          <w:numId w:val="2"/>
        </w:numPr>
        <w:spacing w:after="120"/>
        <w:contextualSpacing w:val="0"/>
        <w:jc w:val="both"/>
      </w:pPr>
      <w:r w:rsidRPr="00902DFA">
        <w:t xml:space="preserve">Protect against anticipated threats or hazards to the security, confidentiality, integrity, or availability of </w:t>
      </w:r>
      <w:bookmarkStart w:name="a000108" w:id="2"/>
      <w:bookmarkEnd w:id="1"/>
      <w:r w:rsidR="00E75544">
        <w:t>Data</w:t>
      </w:r>
      <w:r w:rsidR="006E00B7">
        <w:t>;</w:t>
      </w:r>
    </w:p>
    <w:p w:rsidR="00E77835" w:rsidP="003238A3" w:rsidRDefault="00E77835">
      <w:pPr>
        <w:pStyle w:val="ListParagraph"/>
        <w:numPr>
          <w:ilvl w:val="0"/>
          <w:numId w:val="2"/>
        </w:numPr>
        <w:spacing w:after="120"/>
        <w:contextualSpacing w:val="0"/>
        <w:jc w:val="both"/>
      </w:pPr>
      <w:r w:rsidRPr="000509AB">
        <w:t>Protect against unauthorized access to or use of Rosenthal &amp; Rosenthal</w:t>
      </w:r>
      <w:r w:rsidR="00E75544">
        <w:t>’s Data</w:t>
      </w:r>
      <w:r w:rsidRPr="000509AB">
        <w:t xml:space="preserve"> that could result in substantial harm or inconvenience to any customer or employee</w:t>
      </w:r>
      <w:bookmarkStart w:name="a000107" w:id="3"/>
      <w:bookmarkEnd w:id="2"/>
      <w:r w:rsidR="00E75544">
        <w:t xml:space="preserve"> of Rosenthal &amp; Rosenthal</w:t>
      </w:r>
      <w:r w:rsidR="006E00B7">
        <w:t>;</w:t>
      </w:r>
    </w:p>
    <w:p w:rsidR="00E77835" w:rsidP="003238A3" w:rsidRDefault="00E77835">
      <w:pPr>
        <w:pStyle w:val="ListParagraph"/>
        <w:numPr>
          <w:ilvl w:val="0"/>
          <w:numId w:val="2"/>
        </w:numPr>
        <w:spacing w:after="120"/>
        <w:contextualSpacing w:val="0"/>
        <w:jc w:val="both"/>
      </w:pPr>
      <w:r w:rsidRPr="000509AB">
        <w:t xml:space="preserve">Define an </w:t>
      </w:r>
      <w:r>
        <w:t>information security program</w:t>
      </w:r>
      <w:r w:rsidRPr="000509AB">
        <w:t xml:space="preserve"> that is appropriate to Rosenthal &amp; Rosenthal</w:t>
      </w:r>
      <w:r>
        <w:t>’</w:t>
      </w:r>
      <w:r w:rsidRPr="000509AB">
        <w:t xml:space="preserve">s size, scope, and business, its available resources, and the amount of </w:t>
      </w:r>
      <w:r w:rsidR="00E75544">
        <w:t>Data</w:t>
      </w:r>
      <w:r>
        <w:t xml:space="preserve"> </w:t>
      </w:r>
      <w:r w:rsidRPr="000509AB">
        <w:t>that Rosenthal &amp; Rosenthal owns or maintains on behalf of others, while recognizing the need to protect both customer and employee information</w:t>
      </w:r>
      <w:bookmarkEnd w:id="3"/>
      <w:r w:rsidR="006E00B7">
        <w:t>;</w:t>
      </w:r>
    </w:p>
    <w:p w:rsidR="003238A3" w:rsidP="003238A3" w:rsidRDefault="00E77835">
      <w:pPr>
        <w:pStyle w:val="ListParagraph"/>
        <w:numPr>
          <w:ilvl w:val="0"/>
          <w:numId w:val="2"/>
        </w:numPr>
        <w:spacing w:after="120"/>
        <w:contextualSpacing w:val="0"/>
        <w:jc w:val="both"/>
      </w:pPr>
      <w:r w:rsidRPr="002E6FC5">
        <w:t>Comply with data and information-related legal obligations; and</w:t>
      </w:r>
    </w:p>
    <w:p w:rsidR="00E77835" w:rsidP="00D73C4D" w:rsidRDefault="00E77835">
      <w:pPr>
        <w:pStyle w:val="ListParagraph"/>
        <w:numPr>
          <w:ilvl w:val="0"/>
          <w:numId w:val="2"/>
        </w:numPr>
        <w:contextualSpacing w:val="0"/>
        <w:jc w:val="both"/>
      </w:pPr>
      <w:r w:rsidRPr="002E6FC5">
        <w:t xml:space="preserve">Follow best practices for </w:t>
      </w:r>
      <w:r w:rsidR="00E75544">
        <w:t>Data governance and security</w:t>
      </w:r>
      <w:r w:rsidRPr="002E6FC5">
        <w:t>.</w:t>
      </w:r>
    </w:p>
    <w:p w:rsidRPr="002E6FC5" w:rsidR="00D73C4D" w:rsidP="00D73C4D" w:rsidRDefault="00D73C4D">
      <w:pPr>
        <w:jc w:val="both"/>
      </w:pPr>
    </w:p>
    <w:p w:rsidR="00E346A3" w:rsidRDefault="00540941">
      <w:pPr>
        <w:rPr>
          <w:b/>
        </w:rPr>
      </w:pPr>
      <w:r>
        <w:rPr>
          <w:b/>
        </w:rPr>
        <w:t xml:space="preserve">Kinds of </w:t>
      </w:r>
      <w:r w:rsidR="00E75544">
        <w:rPr>
          <w:b/>
        </w:rPr>
        <w:t>Data</w:t>
      </w:r>
      <w:r w:rsidRPr="00E77835" w:rsidR="00E77835">
        <w:rPr>
          <w:b/>
        </w:rPr>
        <w:t xml:space="preserve"> We </w:t>
      </w:r>
      <w:r>
        <w:rPr>
          <w:b/>
        </w:rPr>
        <w:t>Protect</w:t>
      </w:r>
      <w:r w:rsidR="00D73C4D">
        <w:rPr>
          <w:b/>
        </w:rPr>
        <w:t xml:space="preserve"> </w:t>
      </w:r>
    </w:p>
    <w:p w:rsidR="003238A3" w:rsidP="003238A3" w:rsidRDefault="003238A3">
      <w:pPr>
        <w:spacing w:after="240"/>
        <w:jc w:val="both"/>
      </w:pPr>
      <w:r w:rsidRPr="003238A3">
        <w:t xml:space="preserve">We may collect </w:t>
      </w:r>
      <w:r w:rsidR="00E75544">
        <w:t>Data</w:t>
      </w:r>
      <w:r w:rsidRPr="003238A3">
        <w:t xml:space="preserve"> in the course of your use of, or registration with, our </w:t>
      </w:r>
      <w:r>
        <w:t>website</w:t>
      </w:r>
      <w:r w:rsidR="00074E99">
        <w:t>, mobile applications</w:t>
      </w:r>
      <w:r w:rsidR="006302AD">
        <w:t>,</w:t>
      </w:r>
      <w:r w:rsidR="00074E99">
        <w:t xml:space="preserve"> and social sites, through your computer, smartphone, tablet or other mobile devices</w:t>
      </w:r>
      <w:r w:rsidRPr="003238A3">
        <w:t xml:space="preserve">. </w:t>
      </w:r>
      <w:r w:rsidRPr="003238A3">
        <w:lastRenderedPageBreak/>
        <w:t xml:space="preserve">For example, when you create an account or </w:t>
      </w:r>
      <w:r w:rsidR="00E70C06">
        <w:t>apply</w:t>
      </w:r>
      <w:r w:rsidRPr="003238A3">
        <w:t xml:space="preserve"> for a service, you may provide us with certain personal information. This type of personal information may </w:t>
      </w:r>
      <w:r>
        <w:t>include:</w:t>
      </w:r>
    </w:p>
    <w:p w:rsidR="003238A3" w:rsidP="003238A3" w:rsidRDefault="003238A3">
      <w:pPr>
        <w:pStyle w:val="ListParagraph"/>
        <w:numPr>
          <w:ilvl w:val="0"/>
          <w:numId w:val="3"/>
        </w:numPr>
        <w:spacing w:after="120"/>
        <w:contextualSpacing w:val="0"/>
        <w:jc w:val="both"/>
      </w:pPr>
      <w:r w:rsidRPr="003238A3">
        <w:rPr>
          <w:b/>
        </w:rPr>
        <w:t>Contact information</w:t>
      </w:r>
      <w:r>
        <w:t xml:space="preserve"> such as </w:t>
      </w:r>
      <w:r w:rsidRPr="003238A3">
        <w:t xml:space="preserve">name, </w:t>
      </w:r>
      <w:r>
        <w:t>telephone and mobile number(s)</w:t>
      </w:r>
      <w:r w:rsidR="00A63E71">
        <w:t>, and email address</w:t>
      </w:r>
      <w:r w:rsidRPr="00A63E71" w:rsidR="00A63E71">
        <w:t xml:space="preserve"> </w:t>
      </w:r>
      <w:r w:rsidRPr="00BF6657" w:rsidR="00A63E71">
        <w:t>with any required security code, access code, or password that would permit access to an individual</w:t>
      </w:r>
      <w:r w:rsidR="00A63E71">
        <w:t>’</w:t>
      </w:r>
      <w:r w:rsidRPr="00BF6657" w:rsidR="00A63E71">
        <w:t>s personal, medical, insurance, or financial account</w:t>
      </w:r>
      <w:r>
        <w:t xml:space="preserve">. </w:t>
      </w:r>
    </w:p>
    <w:p w:rsidR="003238A3" w:rsidP="00A63E71" w:rsidRDefault="003238A3">
      <w:pPr>
        <w:pStyle w:val="ListParagraph"/>
        <w:numPr>
          <w:ilvl w:val="0"/>
          <w:numId w:val="3"/>
        </w:numPr>
        <w:spacing w:after="120"/>
        <w:contextualSpacing w:val="0"/>
        <w:jc w:val="both"/>
      </w:pPr>
      <w:r w:rsidRPr="003238A3">
        <w:rPr>
          <w:b/>
        </w:rPr>
        <w:t>Identifiers</w:t>
      </w:r>
      <w:r>
        <w:t xml:space="preserve"> such as Social Security number</w:t>
      </w:r>
      <w:r w:rsidRPr="003238A3">
        <w:t xml:space="preserve">, </w:t>
      </w:r>
      <w:r>
        <w:t xml:space="preserve">driver’s license number, or other government-issued identification number </w:t>
      </w:r>
      <w:r w:rsidRPr="00902DFA">
        <w:t>including passpo</w:t>
      </w:r>
      <w:r w:rsidRPr="000509AB">
        <w:t>rt number, or tribal identification number</w:t>
      </w:r>
      <w:r>
        <w:t>.</w:t>
      </w:r>
    </w:p>
    <w:p w:rsidR="00A63E71" w:rsidP="00A63E71" w:rsidRDefault="00A63E71">
      <w:pPr>
        <w:pStyle w:val="ListParagraph"/>
        <w:numPr>
          <w:ilvl w:val="0"/>
          <w:numId w:val="3"/>
        </w:numPr>
        <w:spacing w:after="120"/>
        <w:contextualSpacing w:val="0"/>
        <w:jc w:val="both"/>
      </w:pPr>
      <w:r>
        <w:rPr>
          <w:b/>
        </w:rPr>
        <w:t xml:space="preserve">Account information </w:t>
      </w:r>
      <w:r w:rsidRPr="00A63E71">
        <w:t>such as</w:t>
      </w:r>
      <w:r>
        <w:rPr>
          <w:b/>
        </w:rPr>
        <w:t xml:space="preserve"> </w:t>
      </w:r>
      <w:r w:rsidR="003238A3">
        <w:t>account number or debit or credit card number</w:t>
      </w:r>
      <w:r w:rsidRPr="003238A3" w:rsidR="003238A3">
        <w:t xml:space="preserve">, </w:t>
      </w:r>
      <w:r w:rsidRPr="000509AB">
        <w:t>with or without any required security code, access code, personal identification number, or password that would permit access to the individual</w:t>
      </w:r>
      <w:r>
        <w:t>’</w:t>
      </w:r>
      <w:r w:rsidRPr="000509AB">
        <w:t>s financial account</w:t>
      </w:r>
      <w:r>
        <w:t xml:space="preserve">, </w:t>
      </w:r>
      <w:r w:rsidRPr="000509AB">
        <w:t>or any personally identifiable financial information or consumer list, description, or other grouping derived from personally identifiable financial information</w:t>
      </w:r>
      <w:r>
        <w:t>.</w:t>
      </w:r>
    </w:p>
    <w:p w:rsidR="00E77835" w:rsidP="00FF6116" w:rsidRDefault="00A63E71">
      <w:pPr>
        <w:pStyle w:val="ListParagraph"/>
        <w:numPr>
          <w:ilvl w:val="0"/>
          <w:numId w:val="3"/>
        </w:numPr>
        <w:spacing w:after="240"/>
        <w:contextualSpacing w:val="0"/>
        <w:jc w:val="both"/>
      </w:pPr>
      <w:r w:rsidRPr="00A63E71">
        <w:rPr>
          <w:b/>
        </w:rPr>
        <w:t>Biometric data</w:t>
      </w:r>
      <w:r>
        <w:t xml:space="preserve"> such as an image of a fingerprint, retina, or iris, collected from the individual and used to authenticate the individual during a transaction. </w:t>
      </w:r>
    </w:p>
    <w:p w:rsidR="00E26AB7" w:rsidP="00D73C4D" w:rsidRDefault="005027D5">
      <w:pPr>
        <w:jc w:val="both"/>
      </w:pPr>
      <w:r>
        <w:t xml:space="preserve">Rosenthal &amp; Rosenthal also take steps to protect sensitive </w:t>
      </w:r>
      <w:r w:rsidR="00E75544">
        <w:t>Data</w:t>
      </w:r>
      <w:r>
        <w:t xml:space="preserve"> including but not limited to, customer lists, business and client development plans, and documents created or exchanged in connection with any of the services we offer.   </w:t>
      </w:r>
    </w:p>
    <w:p w:rsidR="005027D5" w:rsidP="005027D5" w:rsidRDefault="005027D5">
      <w:pPr>
        <w:spacing w:after="120"/>
        <w:jc w:val="both"/>
      </w:pPr>
    </w:p>
    <w:p w:rsidR="00D73C4D" w:rsidP="00D73C4D" w:rsidRDefault="00D73C4D">
      <w:pPr>
        <w:jc w:val="both"/>
        <w:rPr>
          <w:b/>
        </w:rPr>
      </w:pPr>
      <w:r>
        <w:rPr>
          <w:b/>
        </w:rPr>
        <w:t xml:space="preserve">How We Protect Your </w:t>
      </w:r>
      <w:r w:rsidR="00E75544">
        <w:rPr>
          <w:b/>
        </w:rPr>
        <w:t>Data</w:t>
      </w:r>
    </w:p>
    <w:p w:rsidR="00D73C4D" w:rsidP="005027D5" w:rsidRDefault="00D73C4D">
      <w:pPr>
        <w:spacing w:after="120"/>
        <w:jc w:val="both"/>
      </w:pPr>
      <w:r w:rsidRPr="000509AB">
        <w:t>Rosenthal &amp; Rosenthal</w:t>
      </w:r>
      <w:r w:rsidRPr="002E6FC5">
        <w:t xml:space="preserve"> </w:t>
      </w:r>
      <w:r>
        <w:t>has</w:t>
      </w:r>
      <w:r w:rsidRPr="002E6FC5">
        <w:t xml:space="preserve"> develop</w:t>
      </w:r>
      <w:r>
        <w:t>ed</w:t>
      </w:r>
      <w:r w:rsidRPr="002E6FC5">
        <w:t>, implement</w:t>
      </w:r>
      <w:r>
        <w:t>ed</w:t>
      </w:r>
      <w:r w:rsidRPr="002E6FC5">
        <w:t>, and maintain</w:t>
      </w:r>
      <w:r>
        <w:t>ed</w:t>
      </w:r>
      <w:r w:rsidRPr="002E6FC5">
        <w:t xml:space="preserve"> administrative, technical, and physical safeguards to protect the security, confidentiality, integrity, and availability of </w:t>
      </w:r>
      <w:r w:rsidR="00E75544">
        <w:t>Data</w:t>
      </w:r>
      <w:bookmarkStart w:name="_GoBack" w:id="4"/>
      <w:bookmarkEnd w:id="4"/>
      <w:r w:rsidRPr="002E6FC5">
        <w:t xml:space="preserve"> that </w:t>
      </w:r>
      <w:r w:rsidRPr="000509AB">
        <w:t>Rosenthal &amp; Rosenthal</w:t>
      </w:r>
      <w:r w:rsidRPr="002E6FC5">
        <w:t xml:space="preserve"> owns or maintains on behalf of others.</w:t>
      </w:r>
    </w:p>
    <w:p w:rsidR="00D73C4D" w:rsidP="00D73C4D" w:rsidRDefault="00D73C4D">
      <w:pPr>
        <w:jc w:val="both"/>
        <w:rPr>
          <w:b/>
        </w:rPr>
      </w:pPr>
      <w:r w:rsidRPr="00D73C4D">
        <w:rPr>
          <w:b/>
          <w:i/>
        </w:rPr>
        <w:t>Administrative Safeguards</w:t>
      </w:r>
    </w:p>
    <w:p w:rsidRPr="00D73C4D" w:rsidR="00D73C4D" w:rsidP="00D73C4D" w:rsidRDefault="00D73C4D">
      <w:pPr>
        <w:spacing w:after="240"/>
        <w:jc w:val="both"/>
      </w:pPr>
      <w:r w:rsidRPr="00D73C4D">
        <w:t xml:space="preserve">Rosenthal’s administrative safeguards include: </w:t>
      </w:r>
    </w:p>
    <w:p w:rsidR="00D73C4D" w:rsidP="00D73C4D" w:rsidRDefault="00540941">
      <w:pPr>
        <w:pStyle w:val="ListParagraph"/>
        <w:numPr>
          <w:ilvl w:val="0"/>
          <w:numId w:val="4"/>
        </w:numPr>
        <w:spacing w:after="120"/>
        <w:contextualSpacing w:val="0"/>
        <w:jc w:val="both"/>
      </w:pPr>
      <w:r>
        <w:t xml:space="preserve">A designated </w:t>
      </w:r>
      <w:r w:rsidR="00FC77F3">
        <w:t xml:space="preserve">“Qualified Individual” </w:t>
      </w:r>
      <w:r w:rsidR="00C2658E">
        <w:t>who manages this Data Protection Policy</w:t>
      </w:r>
      <w:r w:rsidR="00E26FD7">
        <w:t xml:space="preserve">; </w:t>
      </w:r>
    </w:p>
    <w:p w:rsidR="00D73C4D" w:rsidP="00C2658E" w:rsidRDefault="00C2658E">
      <w:pPr>
        <w:pStyle w:val="ListParagraph"/>
        <w:numPr>
          <w:ilvl w:val="0"/>
          <w:numId w:val="5"/>
        </w:numPr>
        <w:spacing w:after="120"/>
        <w:contextualSpacing w:val="0"/>
        <w:jc w:val="both"/>
      </w:pPr>
      <w:r w:rsidRPr="00C2658E">
        <w:t xml:space="preserve">Identification of internal and external risks and </w:t>
      </w:r>
      <w:r>
        <w:t xml:space="preserve">regular </w:t>
      </w:r>
      <w:r w:rsidRPr="00C2658E">
        <w:t xml:space="preserve">assessment </w:t>
      </w:r>
      <w:r>
        <w:t>of whether the existing safeguards adequately control identified risks</w:t>
      </w:r>
      <w:r w:rsidR="00E26FD7">
        <w:t xml:space="preserve">; </w:t>
      </w:r>
    </w:p>
    <w:p w:rsidR="00C2658E" w:rsidP="00C2658E" w:rsidRDefault="00C2658E">
      <w:pPr>
        <w:pStyle w:val="ListParagraph"/>
        <w:numPr>
          <w:ilvl w:val="0"/>
          <w:numId w:val="7"/>
        </w:numPr>
        <w:spacing w:after="120"/>
        <w:contextualSpacing w:val="0"/>
        <w:jc w:val="both"/>
      </w:pPr>
      <w:r>
        <w:t>Training for employees in security program practices and procedures with management oversight</w:t>
      </w:r>
      <w:r w:rsidR="00E26FD7">
        <w:t xml:space="preserve">; </w:t>
      </w:r>
    </w:p>
    <w:p w:rsidR="00C2658E" w:rsidP="00C2658E" w:rsidRDefault="00C2658E">
      <w:pPr>
        <w:pStyle w:val="ListParagraph"/>
        <w:numPr>
          <w:ilvl w:val="0"/>
          <w:numId w:val="7"/>
        </w:numPr>
        <w:spacing w:after="120"/>
        <w:contextualSpacing w:val="0"/>
        <w:jc w:val="both"/>
      </w:pPr>
      <w:r>
        <w:t>Selecting service provide</w:t>
      </w:r>
      <w:r w:rsidR="00FC77F3">
        <w:t>r</w:t>
      </w:r>
      <w:r>
        <w:t>s that are capable of maintaining appropriate safeguards and requiring service providers to maintain safeguards by contract</w:t>
      </w:r>
      <w:r w:rsidR="00E26FD7">
        <w:t>; and</w:t>
      </w:r>
    </w:p>
    <w:p w:rsidRPr="00C2658E" w:rsidR="00C2658E" w:rsidP="00C2658E" w:rsidRDefault="00C2658E">
      <w:pPr>
        <w:pStyle w:val="ListParagraph"/>
        <w:numPr>
          <w:ilvl w:val="0"/>
          <w:numId w:val="7"/>
        </w:numPr>
        <w:spacing w:after="120"/>
        <w:contextualSpacing w:val="0"/>
        <w:jc w:val="both"/>
      </w:pPr>
      <w:r>
        <w:t>Adjusting the Data Protection Policy in light of business changes or new circumstances.</w:t>
      </w:r>
    </w:p>
    <w:p w:rsidR="00D73C4D" w:rsidP="00C2658E" w:rsidRDefault="00D73C4D">
      <w:pPr>
        <w:jc w:val="both"/>
        <w:rPr>
          <w:b/>
          <w:i/>
        </w:rPr>
      </w:pPr>
      <w:r w:rsidRPr="00D73C4D">
        <w:rPr>
          <w:b/>
          <w:i/>
        </w:rPr>
        <w:t>Technical Safeguards</w:t>
      </w:r>
    </w:p>
    <w:p w:rsidR="00C2658E" w:rsidP="00C2658E" w:rsidRDefault="00C2658E">
      <w:pPr>
        <w:spacing w:after="240"/>
        <w:jc w:val="both"/>
      </w:pPr>
      <w:r w:rsidRPr="00645F63">
        <w:t>Rosenthal &amp; Rosenthal</w:t>
      </w:r>
      <w:r>
        <w:t>’</w:t>
      </w:r>
      <w:r w:rsidRPr="00645F63">
        <w:t>s technical safeguards include</w:t>
      </w:r>
      <w:r>
        <w:t>s</w:t>
      </w:r>
      <w:r w:rsidRPr="00645F63">
        <w:t xml:space="preserve"> maintenance of a security system covering its network </w:t>
      </w:r>
      <w:r w:rsidRPr="004F0719">
        <w:t>(including wireless capabilities) and computers that, at a minimum, and to the extent technically feasible, supports</w:t>
      </w:r>
      <w:r w:rsidR="006E00B7">
        <w:t>:</w:t>
      </w:r>
    </w:p>
    <w:p w:rsidR="00E26FD7" w:rsidP="00E26FD7" w:rsidRDefault="00E26FD7">
      <w:pPr>
        <w:pStyle w:val="ListParagraph"/>
        <w:numPr>
          <w:ilvl w:val="0"/>
          <w:numId w:val="11"/>
        </w:numPr>
        <w:spacing w:after="120"/>
        <w:contextualSpacing w:val="0"/>
        <w:jc w:val="both"/>
      </w:pPr>
      <w:bookmarkStart w:name="a000197" w:id="5"/>
      <w:r w:rsidRPr="00BF6657">
        <w:t>Secure user authentication protocols, inclu</w:t>
      </w:r>
      <w:r w:rsidRPr="00FD0405">
        <w:t>ding:</w:t>
      </w:r>
      <w:bookmarkStart w:name="a000152" w:id="6"/>
      <w:bookmarkEnd w:id="5"/>
    </w:p>
    <w:p w:rsidR="00E26FD7" w:rsidP="00E26FD7" w:rsidRDefault="00E26FD7">
      <w:pPr>
        <w:pStyle w:val="ListParagraph"/>
        <w:numPr>
          <w:ilvl w:val="1"/>
          <w:numId w:val="11"/>
        </w:numPr>
        <w:spacing w:after="120"/>
        <w:contextualSpacing w:val="0"/>
        <w:jc w:val="both"/>
      </w:pPr>
      <w:r w:rsidRPr="00FD0405">
        <w:lastRenderedPageBreak/>
        <w:t xml:space="preserve">Controlling user identification and authentication with a reasonably secure method of assigning and selecting passwords (ensuring that passwords are kept in a location or format that does not compromise security) </w:t>
      </w:r>
      <w:r>
        <w:t>and</w:t>
      </w:r>
      <w:r w:rsidRPr="00FD0405">
        <w:t xml:space="preserve"> by</w:t>
      </w:r>
      <w:r>
        <w:t xml:space="preserve"> using other technologies, such as biometrics or token devices</w:t>
      </w:r>
      <w:r w:rsidRPr="00FD0405">
        <w:t>;</w:t>
      </w:r>
      <w:bookmarkStart w:name="a000153" w:id="7"/>
      <w:bookmarkEnd w:id="6"/>
    </w:p>
    <w:p w:rsidR="00E26FD7" w:rsidP="00E26FD7" w:rsidRDefault="00E26FD7">
      <w:pPr>
        <w:pStyle w:val="ListParagraph"/>
        <w:numPr>
          <w:ilvl w:val="1"/>
          <w:numId w:val="11"/>
        </w:numPr>
        <w:spacing w:after="120"/>
        <w:contextualSpacing w:val="0"/>
        <w:jc w:val="both"/>
      </w:pPr>
      <w:r w:rsidRPr="00FD0405">
        <w:t>Restricting access to active users and active user accounts only and preventing terminated employees or contractors from accessing systems or records; and</w:t>
      </w:r>
      <w:bookmarkStart w:name="a000154" w:id="8"/>
      <w:bookmarkEnd w:id="7"/>
    </w:p>
    <w:p w:rsidRPr="00FD0405" w:rsidR="00E26FD7" w:rsidP="00E26FD7" w:rsidRDefault="00E26FD7">
      <w:pPr>
        <w:pStyle w:val="ListParagraph"/>
        <w:numPr>
          <w:ilvl w:val="1"/>
          <w:numId w:val="11"/>
        </w:numPr>
        <w:spacing w:after="120"/>
        <w:contextualSpacing w:val="0"/>
        <w:jc w:val="both"/>
      </w:pPr>
      <w:r w:rsidRPr="00FD0405">
        <w:t>Blocking a particular user identifier</w:t>
      </w:r>
      <w:r>
        <w:t>’</w:t>
      </w:r>
      <w:r w:rsidRPr="00FD0405">
        <w:t>s access after multiple unsuccessful attempts to gain access or placing limitations on access for the particular system.</w:t>
      </w:r>
      <w:bookmarkEnd w:id="8"/>
    </w:p>
    <w:p w:rsidR="00E26FD7" w:rsidP="00E26FD7" w:rsidRDefault="00E26FD7">
      <w:pPr>
        <w:pStyle w:val="ListParagraph"/>
        <w:numPr>
          <w:ilvl w:val="0"/>
          <w:numId w:val="11"/>
        </w:numPr>
        <w:spacing w:after="120"/>
        <w:contextualSpacing w:val="0"/>
        <w:jc w:val="both"/>
      </w:pPr>
      <w:bookmarkStart w:name="a000155" w:id="9"/>
      <w:r w:rsidRPr="00FD0405">
        <w:t>Secure access control measures, including:</w:t>
      </w:r>
      <w:bookmarkStart w:name="a000156" w:id="10"/>
      <w:bookmarkEnd w:id="9"/>
    </w:p>
    <w:p w:rsidR="00E26FD7" w:rsidP="00E26FD7" w:rsidRDefault="00E26FD7">
      <w:pPr>
        <w:pStyle w:val="ListParagraph"/>
        <w:numPr>
          <w:ilvl w:val="1"/>
          <w:numId w:val="11"/>
        </w:numPr>
        <w:spacing w:after="120"/>
        <w:contextualSpacing w:val="0"/>
        <w:jc w:val="both"/>
      </w:pPr>
      <w:r w:rsidRPr="00FD0405">
        <w:t xml:space="preserve">Restricting access to records and files containing </w:t>
      </w:r>
      <w:r>
        <w:t>protected information</w:t>
      </w:r>
      <w:r w:rsidRPr="00FD0405">
        <w:t xml:space="preserve"> to those with a need to know to perform their duties; </w:t>
      </w:r>
      <w:bookmarkStart w:name="a000157" w:id="11"/>
      <w:bookmarkEnd w:id="10"/>
    </w:p>
    <w:p w:rsidR="00E26FD7" w:rsidP="00E26FD7" w:rsidRDefault="00E26FD7">
      <w:pPr>
        <w:pStyle w:val="ListParagraph"/>
        <w:numPr>
          <w:ilvl w:val="1"/>
          <w:numId w:val="11"/>
        </w:numPr>
        <w:spacing w:after="120"/>
        <w:contextualSpacing w:val="0"/>
        <w:jc w:val="both"/>
      </w:pPr>
      <w:r w:rsidRPr="00FD0405">
        <w:t>Assigning to each individual with computer or network access unique identifiers and passwords (or other authentication means, but not vendor-supplied default passwords) that are reasonably designed to maintain security</w:t>
      </w:r>
      <w:bookmarkStart w:name="a000158" w:id="12"/>
      <w:bookmarkEnd w:id="11"/>
      <w:r>
        <w:t>;</w:t>
      </w:r>
    </w:p>
    <w:p w:rsidR="00E26FD7" w:rsidP="00E26FD7" w:rsidRDefault="00E26FD7">
      <w:pPr>
        <w:pStyle w:val="ListParagraph"/>
        <w:numPr>
          <w:ilvl w:val="1"/>
          <w:numId w:val="11"/>
        </w:numPr>
        <w:spacing w:after="120"/>
        <w:contextualSpacing w:val="0"/>
        <w:jc w:val="both"/>
      </w:pPr>
      <w:r w:rsidRPr="00FD0405">
        <w:t xml:space="preserve">Encryption of all </w:t>
      </w:r>
      <w:r>
        <w:t>protected information</w:t>
      </w:r>
      <w:r w:rsidRPr="00FD0405">
        <w:t xml:space="preserve"> traveling wirelessly or across public networks;</w:t>
      </w:r>
      <w:bookmarkStart w:name="a843953" w:id="13"/>
      <w:bookmarkStart w:name="_Hlk103239328" w:id="14"/>
      <w:bookmarkEnd w:id="12"/>
    </w:p>
    <w:p w:rsidR="00E26FD7" w:rsidP="00E26FD7" w:rsidRDefault="00E26FD7">
      <w:pPr>
        <w:pStyle w:val="ListParagraph"/>
        <w:numPr>
          <w:ilvl w:val="1"/>
          <w:numId w:val="11"/>
        </w:numPr>
        <w:spacing w:after="120"/>
        <w:contextualSpacing w:val="0"/>
        <w:jc w:val="both"/>
      </w:pPr>
      <w:r w:rsidRPr="00FD0405">
        <w:t xml:space="preserve">Encryption of all </w:t>
      </w:r>
      <w:r>
        <w:t>protected information</w:t>
      </w:r>
      <w:r w:rsidRPr="00FD0405">
        <w:t xml:space="preserve"> stored on laptops or other portable or mobile devices</w:t>
      </w:r>
      <w:r>
        <w:t xml:space="preserve">, </w:t>
      </w:r>
      <w:r w:rsidRPr="004F0719">
        <w:t xml:space="preserve">and to the extent technically feasible, </w:t>
      </w:r>
      <w:r>
        <w:t>protected information</w:t>
      </w:r>
      <w:r w:rsidRPr="004F0719">
        <w:t xml:space="preserve"> stored on any other device or media (data-at-rest)</w:t>
      </w:r>
      <w:r w:rsidRPr="00BF6657">
        <w:t>;</w:t>
      </w:r>
      <w:bookmarkEnd w:id="13"/>
    </w:p>
    <w:p w:rsidR="00E26FD7" w:rsidP="00E26FD7" w:rsidRDefault="00E26FD7">
      <w:pPr>
        <w:pStyle w:val="ListParagraph"/>
        <w:numPr>
          <w:ilvl w:val="1"/>
          <w:numId w:val="11"/>
        </w:numPr>
        <w:spacing w:after="120"/>
        <w:contextualSpacing w:val="0"/>
        <w:jc w:val="both"/>
      </w:pPr>
      <w:r>
        <w:t>Logging of all attempts to read from or write to any file containing protected information, where such log shall include the date of the attempt, whether the attempt to read from or write to that file was successful, and to the extent technically feasible, the identity of the individual attempting to read from or write to that file;</w:t>
      </w:r>
      <w:bookmarkStart w:name="a000159" w:id="15"/>
    </w:p>
    <w:p w:rsidR="00E26FD7" w:rsidP="00E26FD7" w:rsidRDefault="00E26FD7">
      <w:pPr>
        <w:pStyle w:val="ListParagraph"/>
        <w:numPr>
          <w:ilvl w:val="1"/>
          <w:numId w:val="11"/>
        </w:numPr>
        <w:spacing w:after="120"/>
        <w:contextualSpacing w:val="0"/>
        <w:jc w:val="both"/>
      </w:pPr>
      <w:r w:rsidRPr="00FD0405">
        <w:t xml:space="preserve">Reasonable system monitoring for preventing, detecting, and responding to unauthorized use of or access to </w:t>
      </w:r>
      <w:r>
        <w:t>protected information</w:t>
      </w:r>
      <w:r w:rsidRPr="00FD0405">
        <w:t xml:space="preserve"> or other attacks or system failures;</w:t>
      </w:r>
      <w:bookmarkStart w:name="a000161" w:id="16"/>
      <w:bookmarkEnd w:id="15"/>
      <w:bookmarkEnd w:id="14"/>
    </w:p>
    <w:p w:rsidR="00E26FD7" w:rsidP="00E26FD7" w:rsidRDefault="00E26FD7">
      <w:pPr>
        <w:pStyle w:val="ListParagraph"/>
        <w:numPr>
          <w:ilvl w:val="1"/>
          <w:numId w:val="11"/>
        </w:numPr>
        <w:spacing w:after="120"/>
        <w:contextualSpacing w:val="0"/>
        <w:jc w:val="both"/>
      </w:pPr>
      <w:r w:rsidRPr="00FD0405">
        <w:t xml:space="preserve">Reasonably current firewall protection and software patches for systems that contain (or may provide access to systems that contain) </w:t>
      </w:r>
      <w:r>
        <w:t>protected information</w:t>
      </w:r>
      <w:r w:rsidRPr="00FD0405">
        <w:t>; and</w:t>
      </w:r>
      <w:bookmarkEnd w:id="16"/>
    </w:p>
    <w:p w:rsidR="00C2658E" w:rsidP="00E26FD7" w:rsidRDefault="00E26FD7">
      <w:pPr>
        <w:pStyle w:val="ListParagraph"/>
        <w:numPr>
          <w:ilvl w:val="1"/>
          <w:numId w:val="11"/>
        </w:numPr>
        <w:spacing w:after="120"/>
        <w:contextualSpacing w:val="0"/>
        <w:jc w:val="both"/>
      </w:pPr>
      <w:r w:rsidRPr="00FD0405">
        <w:t>Reasonably current system security software (or a version that can still be supported with reasonably current patches and malicious software (</w:t>
      </w:r>
      <w:r>
        <w:t>“</w:t>
      </w:r>
      <w:r w:rsidRPr="00FD0405">
        <w:t>malware</w:t>
      </w:r>
      <w:r>
        <w:t>”</w:t>
      </w:r>
      <w:r w:rsidRPr="00FD0405">
        <w:t>) definitions) that (1) includes malware protection with reasonably current patches and malware definitions, and (2) is configured to receive updates on a regular basis</w:t>
      </w:r>
      <w:r>
        <w:t>.</w:t>
      </w:r>
    </w:p>
    <w:p w:rsidRPr="00D73C4D" w:rsidR="00D73C4D" w:rsidP="00E26FD7" w:rsidRDefault="00D73C4D">
      <w:pPr>
        <w:jc w:val="both"/>
        <w:rPr>
          <w:b/>
          <w:i/>
        </w:rPr>
      </w:pPr>
      <w:r w:rsidRPr="00D73C4D">
        <w:rPr>
          <w:b/>
          <w:i/>
        </w:rPr>
        <w:t>Physical Safeguards</w:t>
      </w:r>
    </w:p>
    <w:p w:rsidR="00D73C4D" w:rsidP="005027D5" w:rsidRDefault="00E26FD7">
      <w:pPr>
        <w:spacing w:after="120"/>
        <w:jc w:val="both"/>
      </w:pPr>
      <w:r w:rsidRPr="00D73C4D">
        <w:t xml:space="preserve">Rosenthal’s </w:t>
      </w:r>
      <w:r>
        <w:t>physical</w:t>
      </w:r>
      <w:r w:rsidRPr="00D73C4D">
        <w:t xml:space="preserve"> safeguards include:</w:t>
      </w:r>
    </w:p>
    <w:p w:rsidR="00E26FD7" w:rsidP="00E26FD7" w:rsidRDefault="00E26FD7">
      <w:pPr>
        <w:pStyle w:val="ListParagraph"/>
        <w:numPr>
          <w:ilvl w:val="0"/>
          <w:numId w:val="13"/>
        </w:numPr>
        <w:spacing w:after="120"/>
        <w:contextualSpacing w:val="0"/>
        <w:jc w:val="both"/>
      </w:pPr>
      <w:bookmarkStart w:name="a000164" w:id="17"/>
      <w:r>
        <w:t>P</w:t>
      </w:r>
      <w:r w:rsidRPr="00FD0405">
        <w:t xml:space="preserve">hysical security measures to protect areas where </w:t>
      </w:r>
      <w:r>
        <w:t>protected information</w:t>
      </w:r>
      <w:r w:rsidRPr="00FD0405">
        <w:t xml:space="preserve"> may be accessed, including restrict</w:t>
      </w:r>
      <w:r>
        <w:t>ed</w:t>
      </w:r>
      <w:r w:rsidRPr="00FD0405">
        <w:t xml:space="preserve"> physical access</w:t>
      </w:r>
      <w:r>
        <w:t>,</w:t>
      </w:r>
      <w:r w:rsidRPr="00FD0405">
        <w:t xml:space="preserve"> and storing records containing </w:t>
      </w:r>
      <w:r>
        <w:t>protected information</w:t>
      </w:r>
      <w:r w:rsidRPr="00FD0405">
        <w:t xml:space="preserve"> in locked facilities, areas, or containers; </w:t>
      </w:r>
      <w:bookmarkStart w:name="a000165" w:id="18"/>
      <w:bookmarkEnd w:id="17"/>
    </w:p>
    <w:p w:rsidR="00E26FD7" w:rsidP="00E26FD7" w:rsidRDefault="00E26FD7">
      <w:pPr>
        <w:pStyle w:val="ListParagraph"/>
        <w:numPr>
          <w:ilvl w:val="0"/>
          <w:numId w:val="13"/>
        </w:numPr>
        <w:spacing w:after="120"/>
        <w:contextualSpacing w:val="0"/>
        <w:jc w:val="both"/>
      </w:pPr>
      <w:r w:rsidRPr="00FD0405">
        <w:t xml:space="preserve">Preventing, detecting, and responding to intrusions or unauthorized access to </w:t>
      </w:r>
      <w:r>
        <w:t>protected information</w:t>
      </w:r>
      <w:r w:rsidRPr="00FD0405">
        <w:t>, including during or after data collection, transportation, or disposal; and</w:t>
      </w:r>
      <w:bookmarkStart w:name="a000166" w:id="19"/>
      <w:bookmarkEnd w:id="18"/>
    </w:p>
    <w:p w:rsidR="00E26FD7" w:rsidP="00E26FD7" w:rsidRDefault="00E26FD7">
      <w:pPr>
        <w:pStyle w:val="ListParagraph"/>
        <w:numPr>
          <w:ilvl w:val="0"/>
          <w:numId w:val="13"/>
        </w:numPr>
        <w:spacing w:after="120"/>
        <w:contextualSpacing w:val="0"/>
        <w:jc w:val="both"/>
      </w:pPr>
      <w:r w:rsidRPr="00FD0405">
        <w:lastRenderedPageBreak/>
        <w:t xml:space="preserve">Secure disposal or destruction of </w:t>
      </w:r>
      <w:r>
        <w:t>protected information</w:t>
      </w:r>
      <w:r w:rsidRPr="00FD0405">
        <w:t>, whether in paper or electronic form, when it is no longer to be retained in accordance with applicable laws or accepted standards.</w:t>
      </w:r>
      <w:bookmarkEnd w:id="19"/>
    </w:p>
    <w:p w:rsidR="00E26FD7" w:rsidP="00E26FD7" w:rsidRDefault="00E26FD7">
      <w:pPr>
        <w:jc w:val="both"/>
        <w:rPr>
          <w:b/>
          <w:i/>
        </w:rPr>
      </w:pPr>
      <w:r w:rsidRPr="00E26FD7">
        <w:rPr>
          <w:b/>
          <w:i/>
        </w:rPr>
        <w:t>Additional Safeguards</w:t>
      </w:r>
    </w:p>
    <w:p w:rsidR="00E26FD7" w:rsidP="00E26FD7" w:rsidRDefault="00E26FD7">
      <w:pPr>
        <w:spacing w:after="120"/>
        <w:jc w:val="both"/>
      </w:pPr>
      <w:r w:rsidRPr="00FD0405">
        <w:t>Rosenthal &amp; Rosenthal</w:t>
      </w:r>
      <w:r>
        <w:t>’</w:t>
      </w:r>
      <w:r w:rsidRPr="00FD0405">
        <w:t xml:space="preserve">s safeguards </w:t>
      </w:r>
      <w:r>
        <w:t xml:space="preserve">also include: </w:t>
      </w:r>
    </w:p>
    <w:p w:rsidR="00E26FD7" w:rsidP="00E26FD7" w:rsidRDefault="00E26FD7">
      <w:pPr>
        <w:pStyle w:val="ListParagraph"/>
        <w:numPr>
          <w:ilvl w:val="0"/>
          <w:numId w:val="15"/>
        </w:numPr>
        <w:spacing w:after="120"/>
        <w:contextualSpacing w:val="0"/>
        <w:jc w:val="both"/>
      </w:pPr>
      <w:bookmarkStart w:name="a855908" w:id="20"/>
      <w:r w:rsidRPr="00FD0405">
        <w:t>Implement</w:t>
      </w:r>
      <w:r>
        <w:t>ation</w:t>
      </w:r>
      <w:r w:rsidRPr="00FD0405">
        <w:t xml:space="preserve"> and periodic review</w:t>
      </w:r>
      <w:r>
        <w:t xml:space="preserve"> of</w:t>
      </w:r>
      <w:r w:rsidRPr="00FD0405">
        <w:t xml:space="preserve"> technical and, as appropriate, physical access controls to:</w:t>
      </w:r>
      <w:bookmarkStart w:name="a467110" w:id="21"/>
      <w:bookmarkEnd w:id="20"/>
    </w:p>
    <w:p w:rsidR="006E00B7" w:rsidP="006E00B7" w:rsidRDefault="00E26FD7">
      <w:pPr>
        <w:pStyle w:val="ListParagraph"/>
        <w:numPr>
          <w:ilvl w:val="1"/>
          <w:numId w:val="15"/>
        </w:numPr>
        <w:spacing w:after="120"/>
        <w:contextualSpacing w:val="0"/>
        <w:jc w:val="both"/>
      </w:pPr>
      <w:r w:rsidRPr="00FD0405">
        <w:t xml:space="preserve">Authenticate and permit access to </w:t>
      </w:r>
      <w:r w:rsidR="006E00B7">
        <w:t>p</w:t>
      </w:r>
      <w:r>
        <w:t xml:space="preserve">rotected </w:t>
      </w:r>
      <w:r w:rsidR="006E00B7">
        <w:t>i</w:t>
      </w:r>
      <w:r>
        <w:t>nformation</w:t>
      </w:r>
      <w:r w:rsidRPr="00FD0405">
        <w:t xml:space="preserve"> only to authorized users; and </w:t>
      </w:r>
      <w:bookmarkStart w:name="a478907" w:id="22"/>
      <w:bookmarkEnd w:id="21"/>
    </w:p>
    <w:p w:rsidR="006E00B7" w:rsidP="006E00B7" w:rsidRDefault="00E26FD7">
      <w:pPr>
        <w:pStyle w:val="ListParagraph"/>
        <w:numPr>
          <w:ilvl w:val="1"/>
          <w:numId w:val="15"/>
        </w:numPr>
        <w:spacing w:after="120"/>
        <w:contextualSpacing w:val="0"/>
        <w:jc w:val="both"/>
      </w:pPr>
      <w:r w:rsidRPr="00FD0405">
        <w:t>Limit authorized users</w:t>
      </w:r>
      <w:r>
        <w:t>’</w:t>
      </w:r>
      <w:r w:rsidRPr="00FD0405">
        <w:t xml:space="preserve"> access only to </w:t>
      </w:r>
      <w:r w:rsidR="006E00B7">
        <w:t>p</w:t>
      </w:r>
      <w:r>
        <w:t xml:space="preserve">rotected </w:t>
      </w:r>
      <w:r w:rsidR="006E00B7">
        <w:t>in</w:t>
      </w:r>
      <w:r>
        <w:t>formation</w:t>
      </w:r>
      <w:r w:rsidRPr="00FD0405">
        <w:t xml:space="preserve"> that they need to perform their duties and functions;</w:t>
      </w:r>
      <w:bookmarkStart w:name="a916249" w:id="23"/>
      <w:bookmarkEnd w:id="22"/>
    </w:p>
    <w:p w:rsidR="006E00B7" w:rsidP="006E00B7" w:rsidRDefault="00E26FD7">
      <w:pPr>
        <w:pStyle w:val="ListParagraph"/>
        <w:numPr>
          <w:ilvl w:val="1"/>
          <w:numId w:val="15"/>
        </w:numPr>
        <w:spacing w:after="120"/>
        <w:contextualSpacing w:val="0"/>
        <w:jc w:val="both"/>
      </w:pPr>
      <w:r w:rsidRPr="00FD0405">
        <w:t>Identifying and managing the data, personnel, devices, systems, and facilities that enable Rosenthal &amp; Rosenthal to achieve its business purposes according to business priorities, objectives, and Rosenthal &amp; Rosenthal</w:t>
      </w:r>
      <w:r>
        <w:t>’</w:t>
      </w:r>
      <w:r w:rsidRPr="00FD0405">
        <w:t>s risk management strategy;</w:t>
      </w:r>
      <w:bookmarkStart w:name="a879805" w:id="24"/>
      <w:bookmarkEnd w:id="23"/>
    </w:p>
    <w:p w:rsidR="006E00B7" w:rsidP="006E00B7" w:rsidRDefault="00E26FD7">
      <w:pPr>
        <w:pStyle w:val="ListParagraph"/>
        <w:numPr>
          <w:ilvl w:val="1"/>
          <w:numId w:val="15"/>
        </w:numPr>
        <w:spacing w:after="120"/>
        <w:contextualSpacing w:val="0"/>
        <w:jc w:val="both"/>
      </w:pPr>
      <w:r w:rsidRPr="00FD0405">
        <w:t xml:space="preserve">Encrypting </w:t>
      </w:r>
      <w:r w:rsidR="006E00B7">
        <w:t>p</w:t>
      </w:r>
      <w:r>
        <w:t xml:space="preserve">rotected </w:t>
      </w:r>
      <w:r w:rsidR="006E00B7">
        <w:t>i</w:t>
      </w:r>
      <w:r>
        <w:t>nformation</w:t>
      </w:r>
      <w:r w:rsidRPr="00FD0405">
        <w:t xml:space="preserve"> that Rosenthal &amp; Rosenthal holds when it is at rest or in transit over external networks, unless Rosenthal &amp; Rosenthal determines that applying encryption is currently infeasible for its circumstances and the </w:t>
      </w:r>
      <w:r>
        <w:t>Qualified Individual</w:t>
      </w:r>
      <w:r w:rsidRPr="00FD0405">
        <w:t xml:space="preserve"> reviews and approves effective compensating controls under Rosenthal &amp; Rosenthal</w:t>
      </w:r>
      <w:r>
        <w:t>’</w:t>
      </w:r>
      <w:r w:rsidRPr="00FD0405">
        <w:t>s exceptions process;</w:t>
      </w:r>
      <w:bookmarkStart w:name="a815837" w:id="25"/>
      <w:bookmarkEnd w:id="24"/>
    </w:p>
    <w:p w:rsidR="006E00B7" w:rsidP="006E00B7" w:rsidRDefault="00E26FD7">
      <w:pPr>
        <w:pStyle w:val="ListParagraph"/>
        <w:numPr>
          <w:ilvl w:val="1"/>
          <w:numId w:val="15"/>
        </w:numPr>
        <w:spacing w:after="120"/>
        <w:contextualSpacing w:val="0"/>
        <w:jc w:val="both"/>
      </w:pPr>
      <w:r w:rsidRPr="00FD0405">
        <w:t xml:space="preserve">Adopting secure development practices for the in-house developed applications and procedures for evaluating, assessing, or testing the security of externally developed applications that in either case Rosenthal &amp; Rosenthal uses to transmit, access, or store </w:t>
      </w:r>
      <w:r w:rsidR="006E00B7">
        <w:t>p</w:t>
      </w:r>
      <w:r>
        <w:t xml:space="preserve">rotected </w:t>
      </w:r>
      <w:r w:rsidR="006E00B7">
        <w:t>i</w:t>
      </w:r>
      <w:r>
        <w:t>nformation</w:t>
      </w:r>
      <w:r w:rsidRPr="00FD0405">
        <w:t>;</w:t>
      </w:r>
      <w:bookmarkStart w:name="a815590" w:id="26"/>
      <w:bookmarkEnd w:id="25"/>
    </w:p>
    <w:p w:rsidR="006E00B7" w:rsidP="006E00B7" w:rsidRDefault="006E00B7">
      <w:pPr>
        <w:pStyle w:val="ListParagraph"/>
        <w:numPr>
          <w:ilvl w:val="1"/>
          <w:numId w:val="15"/>
        </w:numPr>
        <w:spacing w:after="120"/>
        <w:contextualSpacing w:val="0"/>
        <w:jc w:val="both"/>
      </w:pPr>
      <w:r>
        <w:t>I</w:t>
      </w:r>
      <w:r w:rsidRPr="00FD0405" w:rsidR="00E26FD7">
        <w:t xml:space="preserve">mplementing multifactor authentication for individuals accessing </w:t>
      </w:r>
      <w:r>
        <w:t>p</w:t>
      </w:r>
      <w:r w:rsidR="00E26FD7">
        <w:t xml:space="preserve">rotected </w:t>
      </w:r>
      <w:r>
        <w:t>i</w:t>
      </w:r>
      <w:r w:rsidR="00E26FD7">
        <w:t>nformation</w:t>
      </w:r>
      <w:r w:rsidRPr="00FD0405" w:rsidR="00E26FD7">
        <w:t xml:space="preserve"> or systems that handle </w:t>
      </w:r>
      <w:r>
        <w:t>p</w:t>
      </w:r>
      <w:r w:rsidR="00E26FD7">
        <w:t xml:space="preserve">rotected </w:t>
      </w:r>
      <w:r>
        <w:t>i</w:t>
      </w:r>
      <w:r w:rsidR="00E26FD7">
        <w:t>nformation</w:t>
      </w:r>
      <w:r w:rsidRPr="00FD0405" w:rsidR="00E26FD7">
        <w:t xml:space="preserve"> unless the </w:t>
      </w:r>
      <w:r w:rsidR="00E26FD7">
        <w:t>Qualified Individual</w:t>
      </w:r>
      <w:r w:rsidRPr="00FD0405" w:rsidR="00E26FD7">
        <w:t xml:space="preserve"> reviews and approves the use of reasonably equivalent or more secure controls under Rosenthal &amp; Rosenthal</w:t>
      </w:r>
      <w:r w:rsidR="00E26FD7">
        <w:t>’</w:t>
      </w:r>
      <w:r w:rsidRPr="00FD0405" w:rsidR="00E26FD7">
        <w:t>s exceptions process</w:t>
      </w:r>
      <w:bookmarkEnd w:id="26"/>
      <w:r>
        <w:t>;</w:t>
      </w:r>
      <w:bookmarkStart w:name="a969789" w:id="27"/>
    </w:p>
    <w:p w:rsidR="006E00B7" w:rsidP="006E00B7" w:rsidRDefault="00E26FD7">
      <w:pPr>
        <w:pStyle w:val="ListParagraph"/>
        <w:numPr>
          <w:ilvl w:val="1"/>
          <w:numId w:val="15"/>
        </w:numPr>
        <w:spacing w:after="120"/>
        <w:contextualSpacing w:val="0"/>
        <w:jc w:val="both"/>
      </w:pPr>
      <w:r w:rsidRPr="00FD0405">
        <w:t xml:space="preserve">Developing, implementing, and maintaining procedures for securely disposing of </w:t>
      </w:r>
      <w:r w:rsidR="006E00B7">
        <w:t>p</w:t>
      </w:r>
      <w:r>
        <w:t xml:space="preserve">rotected </w:t>
      </w:r>
      <w:r w:rsidR="006E00B7">
        <w:t>i</w:t>
      </w:r>
      <w:r>
        <w:t>nformation</w:t>
      </w:r>
      <w:r w:rsidRPr="00FD0405">
        <w:t xml:space="preserve"> in any format, including:</w:t>
      </w:r>
      <w:bookmarkStart w:name="a817228" w:id="28"/>
      <w:bookmarkEnd w:id="27"/>
    </w:p>
    <w:p w:rsidR="006E00B7" w:rsidP="006E00B7" w:rsidRDefault="00E26FD7">
      <w:pPr>
        <w:pStyle w:val="ListParagraph"/>
        <w:numPr>
          <w:ilvl w:val="2"/>
          <w:numId w:val="15"/>
        </w:numPr>
        <w:spacing w:after="120"/>
        <w:contextualSpacing w:val="0"/>
        <w:jc w:val="both"/>
      </w:pPr>
      <w:r w:rsidRPr="00FD0405">
        <w:t>Disposing of customers</w:t>
      </w:r>
      <w:r>
        <w:t>’</w:t>
      </w:r>
      <w:r w:rsidRPr="00FD0405">
        <w:t xml:space="preserve"> </w:t>
      </w:r>
      <w:r w:rsidR="006E00B7">
        <w:t>p</w:t>
      </w:r>
      <w:r>
        <w:t xml:space="preserve">rotected </w:t>
      </w:r>
      <w:r w:rsidR="006E00B7">
        <w:t>i</w:t>
      </w:r>
      <w:r>
        <w:t>nformation</w:t>
      </w:r>
      <w:r w:rsidRPr="00FD0405">
        <w:t xml:space="preserve"> no later than two years after the last date Rosenthal &amp; Rosenthal uses it for provisioning a product or service to the relevant customer unless it is necessary for business operations or other legitimate business purposes, retention is otherwise required by law, or targeted disposal is not reasonably feasible due to the way Rosenthal &amp; Rosenthal maintains it; and</w:t>
      </w:r>
      <w:bookmarkStart w:name="a288741" w:id="29"/>
      <w:bookmarkEnd w:id="28"/>
    </w:p>
    <w:p w:rsidR="00AF0965" w:rsidP="00AF0965" w:rsidRDefault="00E26FD7">
      <w:pPr>
        <w:pStyle w:val="ListParagraph"/>
        <w:numPr>
          <w:ilvl w:val="2"/>
          <w:numId w:val="15"/>
        </w:numPr>
        <w:spacing w:after="120"/>
        <w:contextualSpacing w:val="0"/>
        <w:jc w:val="both"/>
      </w:pPr>
      <w:r w:rsidRPr="00FD0405">
        <w:t xml:space="preserve">Periodically reviewing data retention policies to minimize the unnecessary retention of </w:t>
      </w:r>
      <w:r w:rsidR="006E00B7">
        <w:t>p</w:t>
      </w:r>
      <w:r>
        <w:t xml:space="preserve">rotected </w:t>
      </w:r>
      <w:r w:rsidR="006E00B7">
        <w:t>i</w:t>
      </w:r>
      <w:r>
        <w:t>nformation</w:t>
      </w:r>
      <w:r w:rsidRPr="00FD0405">
        <w:t>.</w:t>
      </w:r>
      <w:bookmarkEnd w:id="29"/>
    </w:p>
    <w:p w:rsidR="00AF0965" w:rsidP="00AF0965" w:rsidRDefault="00E26FD7">
      <w:pPr>
        <w:pStyle w:val="ListParagraph"/>
        <w:numPr>
          <w:ilvl w:val="1"/>
          <w:numId w:val="15"/>
        </w:numPr>
        <w:spacing w:after="120"/>
        <w:jc w:val="both"/>
      </w:pPr>
      <w:r w:rsidRPr="009B4FD0">
        <w:t>Anticipating and evaluating risk from changes to the information system or network, including the evaluation of security risks introduced by modifications, removals, or additions to Rosenthal &amp; Rosenthal’s systems and networks; and</w:t>
      </w:r>
      <w:bookmarkStart w:name="a115509" w:id="30"/>
    </w:p>
    <w:p w:rsidRPr="000E4590" w:rsidR="00E26FD7" w:rsidP="00AF0965" w:rsidRDefault="00E26FD7">
      <w:pPr>
        <w:pStyle w:val="ListParagraph"/>
        <w:numPr>
          <w:ilvl w:val="1"/>
          <w:numId w:val="15"/>
        </w:numPr>
        <w:spacing w:after="120"/>
        <w:jc w:val="both"/>
      </w:pPr>
      <w:r>
        <w:lastRenderedPageBreak/>
        <w:t>I</w:t>
      </w:r>
      <w:r w:rsidRPr="000E4590">
        <w:t>mplementing policies, procedures, and controls to monitor and log authorized users</w:t>
      </w:r>
      <w:r>
        <w:t>’</w:t>
      </w:r>
      <w:r w:rsidRPr="000E4590">
        <w:t xml:space="preserve"> activities and detect unauthorized access to, use of, or tampering with </w:t>
      </w:r>
      <w:r w:rsidR="00AF0965">
        <w:t>p</w:t>
      </w:r>
      <w:r>
        <w:t xml:space="preserve">rotected </w:t>
      </w:r>
      <w:r w:rsidR="00AF0965">
        <w:t>i</w:t>
      </w:r>
      <w:r>
        <w:t>nformation</w:t>
      </w:r>
      <w:r w:rsidRPr="000E4590">
        <w:t xml:space="preserve"> by them.</w:t>
      </w:r>
      <w:bookmarkEnd w:id="30"/>
    </w:p>
    <w:p w:rsidRPr="00E26FD7" w:rsidR="00E26FD7" w:rsidP="00E26FD7" w:rsidRDefault="00E26FD7">
      <w:pPr>
        <w:jc w:val="both"/>
      </w:pPr>
    </w:p>
    <w:p w:rsidR="00D73C4D" w:rsidP="00B74DB2" w:rsidRDefault="00E26FD7">
      <w:pPr>
        <w:rPr>
          <w:b/>
        </w:rPr>
      </w:pPr>
      <w:r>
        <w:rPr>
          <w:b/>
        </w:rPr>
        <w:t>Inquiries</w:t>
      </w:r>
    </w:p>
    <w:p w:rsidR="00D73C4D" w:rsidP="00B74DB2" w:rsidRDefault="00D73C4D">
      <w:r>
        <w:t xml:space="preserve">Inquiries about this Data Protection Policy may be directed to: </w:t>
      </w:r>
    </w:p>
    <w:p w:rsidRPr="00B74DB2" w:rsidR="00B74DB2" w:rsidP="00B74DB2" w:rsidRDefault="00B74DB2">
      <w:pPr>
        <w:rPr>
          <w:b/>
        </w:rPr>
      </w:pPr>
    </w:p>
    <w:p w:rsidRPr="00FD0405" w:rsidR="00B74DB2" w:rsidP="00D73C4D" w:rsidRDefault="00B74DB2">
      <w:r w:rsidRPr="004F0719">
        <w:t>John Kinney,</w:t>
      </w:r>
      <w:r w:rsidRPr="00BF6657">
        <w:rPr>
          <w:spacing w:val="-2"/>
        </w:rPr>
        <w:t xml:space="preserve"> </w:t>
      </w:r>
      <w:r w:rsidRPr="00FD0405">
        <w:t>CTO</w:t>
      </w:r>
    </w:p>
    <w:p w:rsidRPr="00FD0405" w:rsidR="00B74DB2" w:rsidP="00D73C4D" w:rsidRDefault="00B74DB2">
      <w:r w:rsidRPr="00FD0405">
        <w:t>Rosenthal &amp; Rosenthal</w:t>
      </w:r>
      <w:r>
        <w:t>,</w:t>
      </w:r>
      <w:r w:rsidRPr="00FD0405">
        <w:t xml:space="preserve"> Inc.</w:t>
      </w:r>
    </w:p>
    <w:p w:rsidRPr="00FD0405" w:rsidR="00B74DB2" w:rsidP="00D73C4D" w:rsidRDefault="00B74DB2">
      <w:r w:rsidRPr="00FD0405">
        <w:t>1370 Broadway</w:t>
      </w:r>
    </w:p>
    <w:p w:rsidR="00B74DB2" w:rsidP="00D73C4D" w:rsidRDefault="00B74DB2">
      <w:r w:rsidRPr="00532D3D">
        <w:t xml:space="preserve">New York, NY 10018 </w:t>
      </w:r>
    </w:p>
    <w:p w:rsidRPr="00FD0405" w:rsidR="00B74DB2" w:rsidP="00D73C4D" w:rsidRDefault="00B74DB2">
      <w:r>
        <w:t>Phone</w:t>
      </w:r>
      <w:r w:rsidRPr="004F0719">
        <w:t xml:space="preserve">: </w:t>
      </w:r>
      <w:r>
        <w:t>(</w:t>
      </w:r>
      <w:r w:rsidRPr="004F0719">
        <w:t>212</w:t>
      </w:r>
      <w:r>
        <w:t xml:space="preserve">) </w:t>
      </w:r>
      <w:r w:rsidRPr="004F0719">
        <w:t>356-17</w:t>
      </w:r>
      <w:r w:rsidRPr="00BF6657">
        <w:t>74</w:t>
      </w:r>
    </w:p>
    <w:p w:rsidR="00B74DB2" w:rsidP="00D73C4D" w:rsidRDefault="00B74DB2">
      <w:r w:rsidRPr="00FD0405">
        <w:t xml:space="preserve">E-mail: </w:t>
      </w:r>
      <w:hyperlink r:id="rId7">
        <w:r w:rsidRPr="00FD0405">
          <w:rPr>
            <w:u w:val="single"/>
          </w:rPr>
          <w:t>JKinney@rosenthalinc.com</w:t>
        </w:r>
      </w:hyperlink>
    </w:p>
    <w:p w:rsidRPr="00E26AB7" w:rsidR="005027D5" w:rsidP="005027D5" w:rsidRDefault="005027D5">
      <w:pPr>
        <w:spacing w:after="120"/>
        <w:jc w:val="both"/>
      </w:pPr>
    </w:p>
    <w:sectPr w:rsidRPr="00E26AB7" w:rsidR="005027D5" w:rsidSect="003850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1EF" w:rsidP="00896F72" w:rsidRDefault="001831EF">
      <w:r>
        <w:separator/>
      </w:r>
    </w:p>
  </w:endnote>
  <w:endnote w:type="continuationSeparator" w:id="0">
    <w:p w:rsidR="001831EF" w:rsidP="00896F72" w:rsidRDefault="0018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F72" w:rsidRDefault="00896F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952"/>
      <w:gridCol w:w="2952"/>
      <w:gridCol w:w="2952"/>
    </w:tblGrid>
    <w:tr w:rsidR="003850F1" w:rsidTr="005041A7">
      <w:tc>
        <w:tcPr>
          <w:tcW w:w="2952" w:type="dxa"/>
        </w:tcPr>
        <w:p w:rsidRPr="00C62763" w:rsidR="003850F1" w:rsidP="003850F1" w:rsidRDefault="00FC77F3">
          <w:pPr>
            <w:pStyle w:val="Footer"/>
            <w:tabs>
              <w:tab w:val="clear" w:pos="4680"/>
              <w:tab w:val="clear" w:pos="9360"/>
            </w:tabs>
            <w:rPr>
              <w:rStyle w:val="DocID"/>
            </w:rPr>
          </w:pPr>
          <w:r w:rsidRPr="00E75544" w:rsidR="00E75544">
            <w:rPr>
              <w:rStyle w:val="DocID"/>
            </w:rPr>
            <w:t>7730375.3</w:t>
          </w:r>
        </w:p>
      </w:tc>
      <w:tc>
        <w:tcPr>
          <w:tcW w:w="2952" w:type="dxa"/>
        </w:tcPr>
        <w:p w:rsidRPr="007427CE" w:rsidR="003850F1" w:rsidP="003850F1" w:rsidRDefault="003850F1">
          <w:pPr>
            <w:pStyle w:val="Footer"/>
            <w:tabs>
              <w:tab w:val="clear" w:pos="4680"/>
              <w:tab w:val="clear" w:pos="9360"/>
            </w:tabs>
            <w:jc w:val="center"/>
          </w:pPr>
          <w:r>
            <w:fldChar w:fldCharType="begin"/>
          </w:r>
          <w:r>
            <w:instrText xml:space="preserve"> PAGE   \* MERGEFORMAT </w:instrText>
          </w:r>
          <w:r>
            <w:fldChar w:fldCharType="separate"/>
          </w:r>
          <w:r>
            <w:rPr>
              <w:noProof/>
            </w:rPr>
            <w:t>1</w:t>
          </w:r>
          <w:r>
            <w:rPr>
              <w:noProof/>
            </w:rPr>
            <w:fldChar w:fldCharType="end"/>
          </w:r>
        </w:p>
      </w:tc>
      <w:tc>
        <w:tcPr>
          <w:tcW w:w="2952" w:type="dxa"/>
        </w:tcPr>
        <w:p w:rsidR="003850F1" w:rsidP="003850F1" w:rsidRDefault="003850F1">
          <w:pPr>
            <w:pStyle w:val="Footer"/>
            <w:tabs>
              <w:tab w:val="clear" w:pos="4680"/>
              <w:tab w:val="clear" w:pos="9360"/>
            </w:tabs>
            <w:jc w:val="right"/>
          </w:pPr>
        </w:p>
      </w:tc>
    </w:tr>
  </w:tbl>
  <w:p w:rsidR="00896F72" w:rsidRDefault="00896F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952"/>
      <w:gridCol w:w="2952"/>
      <w:gridCol w:w="2952"/>
    </w:tblGrid>
    <w:tr w:rsidR="00896F72" w:rsidTr="005041A7">
      <w:tc>
        <w:tcPr>
          <w:tcW w:w="2952" w:type="dxa"/>
        </w:tcPr>
        <w:p w:rsidRPr="00C62763" w:rsidR="00896F72" w:rsidP="00896F72" w:rsidRDefault="00FC77F3">
          <w:pPr>
            <w:pStyle w:val="Footer"/>
            <w:tabs>
              <w:tab w:val="clear" w:pos="4680"/>
              <w:tab w:val="clear" w:pos="9360"/>
            </w:tabs>
            <w:rPr>
              <w:rStyle w:val="DocID"/>
            </w:rPr>
          </w:pPr>
          <w:r w:rsidRPr="00E75544" w:rsidR="00E75544">
            <w:rPr>
              <w:rStyle w:val="DocID"/>
            </w:rPr>
            <w:t>7730375.3</w:t>
          </w:r>
        </w:p>
      </w:tc>
      <w:tc>
        <w:tcPr>
          <w:tcW w:w="2952" w:type="dxa"/>
        </w:tcPr>
        <w:p w:rsidRPr="007427CE" w:rsidR="00896F72" w:rsidP="00896F72" w:rsidRDefault="00896F72">
          <w:pPr>
            <w:pStyle w:val="Footer"/>
            <w:tabs>
              <w:tab w:val="clear" w:pos="4680"/>
              <w:tab w:val="clear" w:pos="9360"/>
            </w:tabs>
            <w:jc w:val="center"/>
          </w:pPr>
        </w:p>
      </w:tc>
      <w:tc>
        <w:tcPr>
          <w:tcW w:w="2952" w:type="dxa"/>
        </w:tcPr>
        <w:p w:rsidR="00896F72" w:rsidP="00896F72" w:rsidRDefault="00896F72">
          <w:pPr>
            <w:pStyle w:val="Footer"/>
            <w:tabs>
              <w:tab w:val="clear" w:pos="4680"/>
              <w:tab w:val="clear" w:pos="9360"/>
            </w:tabs>
            <w:jc w:val="right"/>
          </w:pPr>
        </w:p>
      </w:tc>
    </w:tr>
  </w:tbl>
  <w:p w:rsidR="00896F72" w:rsidRDefault="00896F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1EF" w:rsidP="00896F72" w:rsidRDefault="001831EF">
      <w:r>
        <w:separator/>
      </w:r>
    </w:p>
  </w:footnote>
  <w:footnote w:type="continuationSeparator" w:id="0">
    <w:p w:rsidR="001831EF" w:rsidP="00896F72" w:rsidRDefault="00183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F72" w:rsidRDefault="00896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F72" w:rsidRDefault="00896F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F72" w:rsidRDefault="00896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4C6"/>
    <w:multiLevelType w:val="hybridMultilevel"/>
    <w:tmpl w:val="BAC6F6EC"/>
    <w:lvl w:ilvl="0" w:tplc="2A7C4EF0">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B1938"/>
    <w:multiLevelType w:val="hybridMultilevel"/>
    <w:tmpl w:val="BAC6F6EC"/>
    <w:lvl w:ilvl="0" w:tplc="2A7C4EF0">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018B6"/>
    <w:multiLevelType w:val="hybridMultilevel"/>
    <w:tmpl w:val="AED6FC2E"/>
    <w:lvl w:ilvl="0" w:tplc="B63E050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51DE0"/>
    <w:multiLevelType w:val="hybridMultilevel"/>
    <w:tmpl w:val="B750012A"/>
    <w:lvl w:ilvl="0" w:tplc="8810467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E6619"/>
    <w:multiLevelType w:val="multilevel"/>
    <w:tmpl w:val="24AC44BA"/>
    <w:name w:val="General Numbering (2)-Scheme 1"/>
    <w:lvl w:ilvl="0">
      <w:start w:val="1"/>
      <w:numFmt w:val="decimal"/>
      <w:lvlText w:val="%1."/>
      <w:lvlJc w:val="left"/>
      <w:pPr>
        <w:tabs>
          <w:tab w:val="num" w:pos="720"/>
        </w:tabs>
        <w:ind w:left="720" w:hanging="720"/>
      </w:pPr>
      <w:rPr>
        <w:caps/>
        <w:smallCaps w:val="0"/>
        <w:color w:val="010000"/>
        <w:u w:val="none"/>
      </w:rPr>
    </w:lvl>
    <w:lvl w:ilvl="1">
      <w:start w:val="1"/>
      <w:numFmt w:val="upperLetter"/>
      <w:lvlText w:val="%2."/>
      <w:lvlJc w:val="left"/>
      <w:pPr>
        <w:tabs>
          <w:tab w:val="num" w:pos="1440"/>
        </w:tabs>
        <w:ind w:left="1440" w:hanging="720"/>
      </w:pPr>
      <w:rPr>
        <w:color w:val="010000"/>
        <w:u w:val="none"/>
      </w:rPr>
    </w:lvl>
    <w:lvl w:ilvl="2">
      <w:start w:val="1"/>
      <w:numFmt w:val="lowerRoman"/>
      <w:lvlText w:val="%3."/>
      <w:lvlJc w:val="left"/>
      <w:pPr>
        <w:tabs>
          <w:tab w:val="num" w:pos="2160"/>
        </w:tabs>
        <w:ind w:left="2160" w:hanging="720"/>
      </w:pPr>
      <w:rPr>
        <w:color w:val="010000"/>
        <w:u w:val="none"/>
      </w:rPr>
    </w:lvl>
    <w:lvl w:ilvl="3">
      <w:start w:val="1"/>
      <w:numFmt w:val="decimal"/>
      <w:lvlText w:val="(%4)"/>
      <w:lvlJc w:val="left"/>
      <w:pPr>
        <w:tabs>
          <w:tab w:val="num" w:pos="2880"/>
        </w:tabs>
        <w:ind w:left="2880" w:hanging="720"/>
      </w:pPr>
      <w:rPr>
        <w:color w:val="010000"/>
        <w:u w:val="none"/>
      </w:rPr>
    </w:lvl>
    <w:lvl w:ilvl="4">
      <w:start w:val="1"/>
      <w:numFmt w:val="upperLetter"/>
      <w:lvlText w:val="(%5)"/>
      <w:lvlJc w:val="left"/>
      <w:pPr>
        <w:tabs>
          <w:tab w:val="num" w:pos="3600"/>
        </w:tabs>
        <w:ind w:left="3600" w:hanging="720"/>
      </w:pPr>
      <w:rPr>
        <w:color w:val="010000"/>
        <w:u w:val="none"/>
      </w:rPr>
    </w:lvl>
    <w:lvl w:ilvl="5">
      <w:start w:val="1"/>
      <w:numFmt w:val="lowerRoman"/>
      <w:lvlText w:val="(%6)"/>
      <w:lvlJc w:val="left"/>
      <w:pPr>
        <w:tabs>
          <w:tab w:val="num" w:pos="4320"/>
        </w:tabs>
        <w:ind w:left="4320" w:hanging="720"/>
      </w:pPr>
      <w:rPr>
        <w:color w:val="010000"/>
        <w:u w:val="none"/>
      </w:rPr>
    </w:lvl>
    <w:lvl w:ilvl="6">
      <w:start w:val="1"/>
      <w:numFmt w:val="decimal"/>
      <w:lvlText w:val="%7."/>
      <w:lvlJc w:val="left"/>
      <w:pPr>
        <w:tabs>
          <w:tab w:val="num" w:pos="5040"/>
        </w:tabs>
        <w:ind w:left="5040" w:hanging="720"/>
      </w:pPr>
      <w:rPr>
        <w:color w:val="010000"/>
        <w:u w:val="none"/>
      </w:rPr>
    </w:lvl>
    <w:lvl w:ilvl="7">
      <w:start w:val="1"/>
      <w:numFmt w:val="lowerLetter"/>
      <w:lvlText w:val="%8)"/>
      <w:lvlJc w:val="left"/>
      <w:pPr>
        <w:tabs>
          <w:tab w:val="num" w:pos="5760"/>
        </w:tabs>
        <w:ind w:left="5760" w:hanging="720"/>
      </w:pPr>
      <w:rPr>
        <w:color w:val="010000"/>
        <w:u w:val="none"/>
      </w:rPr>
    </w:lvl>
    <w:lvl w:ilvl="8">
      <w:start w:val="1"/>
      <w:numFmt w:val="lowerRoman"/>
      <w:lvlText w:val="%9)"/>
      <w:lvlJc w:val="left"/>
      <w:pPr>
        <w:tabs>
          <w:tab w:val="num" w:pos="6480"/>
        </w:tabs>
        <w:ind w:left="6480" w:hanging="720"/>
      </w:pPr>
      <w:rPr>
        <w:color w:val="010000"/>
        <w:u w:val="none"/>
      </w:rPr>
    </w:lvl>
  </w:abstractNum>
  <w:abstractNum w:abstractNumId="5" w15:restartNumberingAfterBreak="0">
    <w:nsid w:val="3552597B"/>
    <w:multiLevelType w:val="hybridMultilevel"/>
    <w:tmpl w:val="1B3AE04E"/>
    <w:lvl w:ilvl="0" w:tplc="2A7C4EF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55BD4"/>
    <w:multiLevelType w:val="hybridMultilevel"/>
    <w:tmpl w:val="C5ACE608"/>
    <w:lvl w:ilvl="0" w:tplc="2A7C4EF0">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37141"/>
    <w:multiLevelType w:val="hybridMultilevel"/>
    <w:tmpl w:val="16FE8918"/>
    <w:lvl w:ilvl="0" w:tplc="E0FA8F78">
      <w:start w:val="3"/>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E06AA"/>
    <w:multiLevelType w:val="hybridMultilevel"/>
    <w:tmpl w:val="EB721E42"/>
    <w:lvl w:ilvl="0" w:tplc="A84E3F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23711"/>
    <w:multiLevelType w:val="hybridMultilevel"/>
    <w:tmpl w:val="CF0A5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color w:val="000000"/>
      </w:rPr>
    </w:lvl>
    <w:lvl w:ilvl="3">
      <w:start w:val="1"/>
      <w:numFmt w:val="upperLetter"/>
      <w:pStyle w:val="SFParasubclause3"/>
      <w:lvlText w:val="(%4)"/>
      <w:lvlJc w:val="left"/>
      <w:pPr>
        <w:tabs>
          <w:tab w:val="num" w:pos="3600"/>
        </w:tabs>
        <w:ind w:left="2160" w:firstLine="720"/>
      </w:pPr>
      <w:rPr>
        <w:rFonts w:hint="default"/>
        <w:color w:val="000000"/>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11" w15:restartNumberingAfterBreak="0">
    <w:nsid w:val="4F52539B"/>
    <w:multiLevelType w:val="hybridMultilevel"/>
    <w:tmpl w:val="1B3AE04E"/>
    <w:lvl w:ilvl="0" w:tplc="2A7C4EF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E93254"/>
    <w:multiLevelType w:val="hybridMultilevel"/>
    <w:tmpl w:val="F9A60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0E2C48"/>
    <w:multiLevelType w:val="hybridMultilevel"/>
    <w:tmpl w:val="E4D2FB88"/>
    <w:lvl w:ilvl="0" w:tplc="EB52664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5"/>
  </w:num>
  <w:num w:numId="5">
    <w:abstractNumId w:val="13"/>
  </w:num>
  <w:num w:numId="6">
    <w:abstractNumId w:val="7"/>
  </w:num>
  <w:num w:numId="7">
    <w:abstractNumId w:val="8"/>
  </w:num>
  <w:num w:numId="8">
    <w:abstractNumId w:val="11"/>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1EF"/>
    <w:rsid w:val="00074E99"/>
    <w:rsid w:val="001831EF"/>
    <w:rsid w:val="00306F3F"/>
    <w:rsid w:val="003238A3"/>
    <w:rsid w:val="00326A26"/>
    <w:rsid w:val="00367B15"/>
    <w:rsid w:val="003850F1"/>
    <w:rsid w:val="005027D5"/>
    <w:rsid w:val="00513C7E"/>
    <w:rsid w:val="00540941"/>
    <w:rsid w:val="006302AD"/>
    <w:rsid w:val="006E00B7"/>
    <w:rsid w:val="006E3466"/>
    <w:rsid w:val="007E1712"/>
    <w:rsid w:val="00896F72"/>
    <w:rsid w:val="00A63E71"/>
    <w:rsid w:val="00AF0965"/>
    <w:rsid w:val="00B74DB2"/>
    <w:rsid w:val="00C2658E"/>
    <w:rsid w:val="00D73C4D"/>
    <w:rsid w:val="00E26AB7"/>
    <w:rsid w:val="00E26FD7"/>
    <w:rsid w:val="00E346A3"/>
    <w:rsid w:val="00E70C06"/>
    <w:rsid w:val="00E75544"/>
    <w:rsid w:val="00E77835"/>
    <w:rsid w:val="00F164D7"/>
    <w:rsid w:val="00F63DB7"/>
    <w:rsid w:val="00FC77F3"/>
    <w:rsid w:val="00FF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CF9399"/>
  <w15:chartTrackingRefBased/>
  <w15:docId w15:val="{91D00608-A93E-4CFC-AF21-77074BC5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96F72"/>
  </w:style>
  <w:style w:type="paragraph" w:styleId="Heading1">
    <w:name w:val="heading 1"/>
    <w:basedOn w:val="Normal"/>
    <w:next w:val="Normal"/>
    <w:link w:val="Heading1Char"/>
    <w:uiPriority w:val="1"/>
    <w:qFormat/>
    <w:rsid w:val="00896F72"/>
    <w:pPr>
      <w:keepNext/>
      <w:keepLines/>
      <w:spacing w:before="480"/>
      <w:outlineLvl w:val="0"/>
    </w:pPr>
    <w:rPr>
      <w:rFonts w:asciiTheme="majorHAnsi" w:hAnsiTheme="majorHAnsi" w:eastAsiaTheme="majorEastAsia" w:cstheme="majorBidi"/>
      <w:b/>
      <w:bCs/>
      <w:sz w:val="28"/>
      <w:szCs w:val="28"/>
    </w:rPr>
  </w:style>
  <w:style w:type="paragraph" w:styleId="Heading2">
    <w:name w:val="heading 2"/>
    <w:basedOn w:val="Normal"/>
    <w:next w:val="Normal"/>
    <w:link w:val="Heading2Char"/>
    <w:uiPriority w:val="9"/>
    <w:unhideWhenUsed/>
    <w:qFormat/>
    <w:rsid w:val="00896F72"/>
    <w:pPr>
      <w:keepNext/>
      <w:keepLines/>
      <w:spacing w:before="200"/>
      <w:outlineLvl w:val="1"/>
    </w:pPr>
    <w:rPr>
      <w:rFonts w:asciiTheme="majorHAnsi" w:hAnsiTheme="majorHAnsi" w:eastAsiaTheme="majorEastAsia" w:cstheme="majorBidi"/>
      <w:b/>
      <w:bCs/>
      <w:sz w:val="26"/>
      <w:szCs w:val="26"/>
    </w:rPr>
  </w:style>
  <w:style w:type="paragraph" w:styleId="Heading3">
    <w:name w:val="heading 3"/>
    <w:basedOn w:val="Normal"/>
    <w:next w:val="Normal"/>
    <w:link w:val="Heading3Char"/>
    <w:uiPriority w:val="9"/>
    <w:unhideWhenUsed/>
    <w:qFormat/>
    <w:rsid w:val="00896F72"/>
    <w:pPr>
      <w:keepNext/>
      <w:keepLines/>
      <w:spacing w:before="200"/>
      <w:outlineLvl w:val="2"/>
    </w:pPr>
    <w:rPr>
      <w:rFonts w:asciiTheme="majorHAnsi" w:hAnsiTheme="majorHAnsi" w:eastAsiaTheme="majorEastAsia" w:cstheme="majorBidi"/>
      <w:b/>
      <w:bCs/>
    </w:rPr>
  </w:style>
  <w:style w:type="paragraph" w:styleId="Heading4">
    <w:name w:val="heading 4"/>
    <w:basedOn w:val="Normal"/>
    <w:next w:val="Normal"/>
    <w:link w:val="Heading4Char"/>
    <w:uiPriority w:val="9"/>
    <w:unhideWhenUsed/>
    <w:qFormat/>
    <w:rsid w:val="00896F72"/>
    <w:pPr>
      <w:keepNext/>
      <w:keepLines/>
      <w:spacing w:before="200"/>
      <w:outlineLvl w:val="3"/>
    </w:pPr>
    <w:rPr>
      <w:rFonts w:asciiTheme="majorHAnsi" w:hAnsiTheme="majorHAnsi" w:eastAsiaTheme="majorEastAsia" w:cstheme="majorBidi"/>
      <w:b/>
      <w:bCs/>
      <w:i/>
      <w:iCs/>
    </w:rPr>
  </w:style>
  <w:style w:type="paragraph" w:styleId="Heading5">
    <w:name w:val="heading 5"/>
    <w:basedOn w:val="Normal"/>
    <w:next w:val="Normal"/>
    <w:link w:val="Heading5Char"/>
    <w:uiPriority w:val="9"/>
    <w:unhideWhenUsed/>
    <w:qFormat/>
    <w:rsid w:val="00896F72"/>
    <w:pPr>
      <w:keepNext/>
      <w:keepLines/>
      <w:spacing w:before="200"/>
      <w:outlineLvl w:val="4"/>
    </w:pPr>
    <w:rPr>
      <w:rFonts w:asciiTheme="majorHAnsi" w:hAnsiTheme="majorHAnsi" w:eastAsiaTheme="majorEastAsia" w:cstheme="majorBidi"/>
    </w:rPr>
  </w:style>
  <w:style w:type="paragraph" w:styleId="Heading6">
    <w:name w:val="heading 6"/>
    <w:basedOn w:val="Normal"/>
    <w:next w:val="Normal"/>
    <w:link w:val="Heading6Char"/>
    <w:uiPriority w:val="9"/>
    <w:semiHidden/>
    <w:unhideWhenUsed/>
    <w:qFormat/>
    <w:rsid w:val="00896F72"/>
    <w:pPr>
      <w:keepNext/>
      <w:keepLines/>
      <w:spacing w:before="200"/>
      <w:outlineLvl w:val="5"/>
    </w:pPr>
    <w:rPr>
      <w:rFonts w:asciiTheme="majorHAnsi" w:hAnsiTheme="majorHAnsi" w:eastAsiaTheme="majorEastAsia" w:cstheme="majorBidi"/>
      <w:i/>
      <w:iCs/>
    </w:rPr>
  </w:style>
  <w:style w:type="paragraph" w:styleId="Heading7">
    <w:name w:val="heading 7"/>
    <w:basedOn w:val="Normal"/>
    <w:next w:val="Normal"/>
    <w:link w:val="Heading7Char"/>
    <w:uiPriority w:val="9"/>
    <w:semiHidden/>
    <w:unhideWhenUsed/>
    <w:qFormat/>
    <w:rsid w:val="00896F72"/>
    <w:pPr>
      <w:keepNext/>
      <w:keepLines/>
      <w:spacing w:before="20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896F72"/>
    <w:pPr>
      <w:keepNext/>
      <w:keepLines/>
      <w:spacing w:before="200"/>
      <w:outlineLvl w:val="7"/>
    </w:pPr>
    <w:rPr>
      <w:rFonts w:asciiTheme="majorHAnsi" w:hAnsiTheme="majorHAnsi" w:eastAsiaTheme="majorEastAsia" w:cstheme="majorBidi"/>
      <w:sz w:val="20"/>
      <w:szCs w:val="20"/>
    </w:rPr>
  </w:style>
  <w:style w:type="paragraph" w:styleId="Heading9">
    <w:name w:val="heading 9"/>
    <w:basedOn w:val="Normal"/>
    <w:next w:val="Normal"/>
    <w:link w:val="Heading9Char"/>
    <w:uiPriority w:val="9"/>
    <w:semiHidden/>
    <w:unhideWhenUsed/>
    <w:qFormat/>
    <w:rsid w:val="00896F72"/>
    <w:pPr>
      <w:keepNext/>
      <w:keepLines/>
      <w:spacing w:before="200"/>
      <w:outlineLvl w:val="8"/>
    </w:pPr>
    <w:rPr>
      <w:rFonts w:asciiTheme="majorHAnsi" w:hAnsiTheme="majorHAnsi" w:eastAsiaTheme="majorEastAsia" w:cstheme="majorBidi"/>
      <w:i/>
      <w:i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qFormat/>
    <w:rsid w:val="00896F72"/>
    <w:pPr>
      <w:spacing w:after="120"/>
    </w:pPr>
  </w:style>
  <w:style w:type="character" w:styleId="BodyTextChar" w:customStyle="1">
    <w:name w:val="Body Text Char"/>
    <w:basedOn w:val="DefaultParagraphFont"/>
    <w:link w:val="BodyText"/>
    <w:rsid w:val="00896F72"/>
  </w:style>
  <w:style w:type="paragraph" w:styleId="BodyText2">
    <w:name w:val="Body Text 2"/>
    <w:basedOn w:val="Normal"/>
    <w:link w:val="BodyText2Char"/>
    <w:qFormat/>
    <w:rsid w:val="00896F72"/>
    <w:pPr>
      <w:spacing w:line="480" w:lineRule="auto"/>
      <w:ind w:firstLine="720"/>
    </w:pPr>
  </w:style>
  <w:style w:type="character" w:styleId="BodyText2Char" w:customStyle="1">
    <w:name w:val="Body Text 2 Char"/>
    <w:basedOn w:val="DefaultParagraphFont"/>
    <w:link w:val="BodyText2"/>
    <w:rsid w:val="00896F72"/>
  </w:style>
  <w:style w:type="character" w:styleId="DocID" w:customStyle="1">
    <w:name w:val="DocID"/>
    <w:basedOn w:val="DefaultParagraphFont"/>
    <w:semiHidden/>
    <w:qFormat/>
    <w:rsid w:val="00896F72"/>
    <w:rPr>
      <w:sz w:val="16"/>
    </w:rPr>
  </w:style>
  <w:style w:type="paragraph" w:styleId="Footer">
    <w:name w:val="footer"/>
    <w:basedOn w:val="Normal"/>
    <w:link w:val="FooterChar"/>
    <w:unhideWhenUsed/>
    <w:rsid w:val="00896F72"/>
    <w:pPr>
      <w:tabs>
        <w:tab w:val="center" w:pos="4680"/>
        <w:tab w:val="right" w:pos="9360"/>
      </w:tabs>
    </w:pPr>
  </w:style>
  <w:style w:type="character" w:styleId="FooterChar" w:customStyle="1">
    <w:name w:val="Footer Char"/>
    <w:basedOn w:val="DefaultParagraphFont"/>
    <w:link w:val="Footer"/>
    <w:uiPriority w:val="99"/>
    <w:rsid w:val="00896F72"/>
  </w:style>
  <w:style w:type="paragraph" w:styleId="Header">
    <w:name w:val="header"/>
    <w:basedOn w:val="Normal"/>
    <w:link w:val="HeaderChar"/>
    <w:uiPriority w:val="99"/>
    <w:unhideWhenUsed/>
    <w:rsid w:val="00896F72"/>
    <w:pPr>
      <w:tabs>
        <w:tab w:val="center" w:pos="4680"/>
        <w:tab w:val="right" w:pos="9360"/>
      </w:tabs>
    </w:pPr>
  </w:style>
  <w:style w:type="character" w:styleId="HeaderChar" w:customStyle="1">
    <w:name w:val="Header Char"/>
    <w:basedOn w:val="DefaultParagraphFont"/>
    <w:link w:val="Header"/>
    <w:uiPriority w:val="99"/>
    <w:rsid w:val="00896F72"/>
  </w:style>
  <w:style w:type="character" w:styleId="Heading1Char" w:customStyle="1">
    <w:name w:val="Heading 1 Char"/>
    <w:basedOn w:val="DefaultParagraphFont"/>
    <w:link w:val="Heading1"/>
    <w:uiPriority w:val="1"/>
    <w:rsid w:val="00896F72"/>
    <w:rPr>
      <w:rFonts w:asciiTheme="majorHAnsi" w:hAnsiTheme="majorHAnsi" w:eastAsiaTheme="majorEastAsia" w:cstheme="majorBidi"/>
      <w:b/>
      <w:bCs/>
      <w:sz w:val="28"/>
      <w:szCs w:val="28"/>
    </w:rPr>
  </w:style>
  <w:style w:type="character" w:styleId="Heading2Char" w:customStyle="1">
    <w:name w:val="Heading 2 Char"/>
    <w:basedOn w:val="DefaultParagraphFont"/>
    <w:link w:val="Heading2"/>
    <w:uiPriority w:val="9"/>
    <w:rsid w:val="00896F72"/>
    <w:rPr>
      <w:rFonts w:asciiTheme="majorHAnsi" w:hAnsiTheme="majorHAnsi" w:eastAsiaTheme="majorEastAsia" w:cstheme="majorBidi"/>
      <w:b/>
      <w:bCs/>
      <w:sz w:val="26"/>
      <w:szCs w:val="26"/>
    </w:rPr>
  </w:style>
  <w:style w:type="character" w:styleId="Heading3Char" w:customStyle="1">
    <w:name w:val="Heading 3 Char"/>
    <w:basedOn w:val="DefaultParagraphFont"/>
    <w:link w:val="Heading3"/>
    <w:uiPriority w:val="9"/>
    <w:rsid w:val="00896F72"/>
    <w:rPr>
      <w:rFonts w:asciiTheme="majorHAnsi" w:hAnsiTheme="majorHAnsi" w:eastAsiaTheme="majorEastAsia" w:cstheme="majorBidi"/>
      <w:b/>
      <w:bCs/>
    </w:rPr>
  </w:style>
  <w:style w:type="character" w:styleId="Heading4Char" w:customStyle="1">
    <w:name w:val="Heading 4 Char"/>
    <w:basedOn w:val="DefaultParagraphFont"/>
    <w:link w:val="Heading4"/>
    <w:uiPriority w:val="9"/>
    <w:rsid w:val="00896F72"/>
    <w:rPr>
      <w:rFonts w:asciiTheme="majorHAnsi" w:hAnsiTheme="majorHAnsi" w:eastAsiaTheme="majorEastAsia" w:cstheme="majorBidi"/>
      <w:b/>
      <w:bCs/>
      <w:i/>
      <w:iCs/>
    </w:rPr>
  </w:style>
  <w:style w:type="character" w:styleId="Heading5Char" w:customStyle="1">
    <w:name w:val="Heading 5 Char"/>
    <w:basedOn w:val="DefaultParagraphFont"/>
    <w:link w:val="Heading5"/>
    <w:uiPriority w:val="9"/>
    <w:rsid w:val="00896F72"/>
    <w:rPr>
      <w:rFonts w:asciiTheme="majorHAnsi" w:hAnsiTheme="majorHAnsi" w:eastAsiaTheme="majorEastAsia" w:cstheme="majorBidi"/>
    </w:rPr>
  </w:style>
  <w:style w:type="character" w:styleId="Heading6Char" w:customStyle="1">
    <w:name w:val="Heading 6 Char"/>
    <w:basedOn w:val="DefaultParagraphFont"/>
    <w:link w:val="Heading6"/>
    <w:semiHidden/>
    <w:rsid w:val="00896F72"/>
    <w:rPr>
      <w:rFonts w:asciiTheme="majorHAnsi" w:hAnsiTheme="majorHAnsi" w:eastAsiaTheme="majorEastAsia" w:cstheme="majorBidi"/>
      <w:i/>
      <w:iCs/>
    </w:rPr>
  </w:style>
  <w:style w:type="character" w:styleId="Heading7Char" w:customStyle="1">
    <w:name w:val="Heading 7 Char"/>
    <w:basedOn w:val="DefaultParagraphFont"/>
    <w:link w:val="Heading7"/>
    <w:semiHidden/>
    <w:rsid w:val="00896F72"/>
    <w:rPr>
      <w:rFonts w:asciiTheme="majorHAnsi" w:hAnsiTheme="majorHAnsi" w:eastAsiaTheme="majorEastAsia" w:cstheme="majorBidi"/>
      <w:i/>
      <w:iCs/>
    </w:rPr>
  </w:style>
  <w:style w:type="character" w:styleId="Heading8Char" w:customStyle="1">
    <w:name w:val="Heading 8 Char"/>
    <w:basedOn w:val="DefaultParagraphFont"/>
    <w:link w:val="Heading8"/>
    <w:semiHidden/>
    <w:rsid w:val="00896F72"/>
    <w:rPr>
      <w:rFonts w:asciiTheme="majorHAnsi" w:hAnsiTheme="majorHAnsi" w:eastAsiaTheme="majorEastAsia" w:cstheme="majorBidi"/>
      <w:sz w:val="20"/>
      <w:szCs w:val="20"/>
    </w:rPr>
  </w:style>
  <w:style w:type="character" w:styleId="Heading9Char" w:customStyle="1">
    <w:name w:val="Heading 9 Char"/>
    <w:basedOn w:val="DefaultParagraphFont"/>
    <w:link w:val="Heading9"/>
    <w:semiHidden/>
    <w:rsid w:val="00896F72"/>
    <w:rPr>
      <w:rFonts w:asciiTheme="majorHAnsi" w:hAnsiTheme="majorHAnsi" w:eastAsiaTheme="majorEastAsia" w:cstheme="majorBidi"/>
      <w:i/>
      <w:iCs/>
      <w:sz w:val="20"/>
      <w:szCs w:val="20"/>
    </w:rPr>
  </w:style>
  <w:style w:type="paragraph" w:styleId="Quote">
    <w:name w:val="Quote"/>
    <w:basedOn w:val="Normal"/>
    <w:next w:val="BodyText"/>
    <w:link w:val="QuoteChar"/>
    <w:qFormat/>
    <w:rsid w:val="00896F72"/>
    <w:pPr>
      <w:spacing w:after="240"/>
      <w:ind w:left="720" w:right="720"/>
    </w:pPr>
    <w:rPr>
      <w:iCs/>
    </w:rPr>
  </w:style>
  <w:style w:type="character" w:styleId="QuoteChar" w:customStyle="1">
    <w:name w:val="Quote Char"/>
    <w:basedOn w:val="DefaultParagraphFont"/>
    <w:link w:val="Quote"/>
    <w:rsid w:val="00896F72"/>
    <w:rPr>
      <w:iCs/>
    </w:rPr>
  </w:style>
  <w:style w:type="paragraph" w:styleId="Subtitle">
    <w:name w:val="Subtitle"/>
    <w:basedOn w:val="Normal"/>
    <w:next w:val="BodyText"/>
    <w:link w:val="SubtitleChar"/>
    <w:uiPriority w:val="11"/>
    <w:qFormat/>
    <w:rsid w:val="00896F72"/>
    <w:pPr>
      <w:numPr>
        <w:ilvl w:val="1"/>
      </w:numPr>
    </w:pPr>
    <w:rPr>
      <w:rFonts w:asciiTheme="majorHAnsi" w:hAnsiTheme="majorHAnsi" w:eastAsiaTheme="majorEastAsia" w:cstheme="majorBidi"/>
      <w:i/>
      <w:iCs/>
      <w:spacing w:val="15"/>
    </w:rPr>
  </w:style>
  <w:style w:type="character" w:styleId="SubtitleChar" w:customStyle="1">
    <w:name w:val="Subtitle Char"/>
    <w:basedOn w:val="DefaultParagraphFont"/>
    <w:link w:val="Subtitle"/>
    <w:uiPriority w:val="11"/>
    <w:rsid w:val="00896F72"/>
    <w:rPr>
      <w:rFonts w:asciiTheme="majorHAnsi" w:hAnsiTheme="majorHAnsi" w:eastAsiaTheme="majorEastAsia" w:cstheme="majorBidi"/>
      <w:i/>
      <w:iCs/>
      <w:spacing w:val="15"/>
    </w:rPr>
  </w:style>
  <w:style w:type="paragraph" w:styleId="Title">
    <w:name w:val="Title"/>
    <w:basedOn w:val="Normal"/>
    <w:next w:val="BodyText"/>
    <w:link w:val="TitleChar"/>
    <w:uiPriority w:val="10"/>
    <w:qFormat/>
    <w:rsid w:val="00896F72"/>
    <w:pPr>
      <w:pBdr>
        <w:bottom w:val="single" w:color="auto" w:sz="8" w:space="4"/>
      </w:pBdr>
      <w:spacing w:after="300"/>
      <w:contextualSpacing/>
    </w:pPr>
    <w:rPr>
      <w:rFonts w:asciiTheme="majorHAnsi" w:hAnsiTheme="majorHAnsi" w:eastAsiaTheme="majorEastAsia" w:cstheme="majorBidi"/>
      <w:spacing w:val="5"/>
      <w:kern w:val="28"/>
      <w:sz w:val="52"/>
      <w:szCs w:val="52"/>
    </w:rPr>
  </w:style>
  <w:style w:type="character" w:styleId="TitleChar" w:customStyle="1">
    <w:name w:val="Title Char"/>
    <w:basedOn w:val="DefaultParagraphFont"/>
    <w:link w:val="Title"/>
    <w:uiPriority w:val="10"/>
    <w:rsid w:val="00896F72"/>
    <w:rPr>
      <w:rFonts w:asciiTheme="majorHAnsi" w:hAnsiTheme="majorHAnsi" w:eastAsiaTheme="majorEastAsia" w:cstheme="majorBidi"/>
      <w:spacing w:val="5"/>
      <w:kern w:val="28"/>
      <w:sz w:val="52"/>
      <w:szCs w:val="52"/>
    </w:rPr>
  </w:style>
  <w:style w:type="paragraph" w:styleId="TOC1">
    <w:name w:val="toc 1"/>
    <w:basedOn w:val="Normal"/>
    <w:next w:val="Normal"/>
    <w:autoRedefine/>
    <w:uiPriority w:val="39"/>
    <w:semiHidden/>
    <w:unhideWhenUsed/>
    <w:rsid w:val="00896F72"/>
    <w:pPr>
      <w:tabs>
        <w:tab w:val="left" w:pos="720"/>
        <w:tab w:val="right" w:leader="dot" w:pos="9360"/>
      </w:tabs>
      <w:spacing w:after="240"/>
      <w:ind w:right="432"/>
    </w:pPr>
  </w:style>
  <w:style w:type="paragraph" w:styleId="TOC2">
    <w:name w:val="toc 2"/>
    <w:basedOn w:val="Normal"/>
    <w:next w:val="Normal"/>
    <w:autoRedefine/>
    <w:uiPriority w:val="39"/>
    <w:semiHidden/>
    <w:unhideWhenUsed/>
    <w:rsid w:val="00896F72"/>
    <w:pPr>
      <w:tabs>
        <w:tab w:val="left" w:pos="1440"/>
        <w:tab w:val="right" w:leader="dot" w:pos="9360"/>
      </w:tabs>
      <w:spacing w:after="240"/>
      <w:ind w:left="720" w:right="432"/>
    </w:pPr>
  </w:style>
  <w:style w:type="paragraph" w:styleId="TOC3">
    <w:name w:val="toc 3"/>
    <w:basedOn w:val="Normal"/>
    <w:next w:val="Normal"/>
    <w:autoRedefine/>
    <w:uiPriority w:val="39"/>
    <w:semiHidden/>
    <w:unhideWhenUsed/>
    <w:rsid w:val="00896F72"/>
    <w:pPr>
      <w:tabs>
        <w:tab w:val="left" w:pos="2160"/>
        <w:tab w:val="right" w:leader="dot" w:pos="9360"/>
      </w:tabs>
      <w:spacing w:after="240"/>
      <w:ind w:left="1440" w:right="720"/>
    </w:pPr>
  </w:style>
  <w:style w:type="paragraph" w:styleId="TOC4">
    <w:name w:val="toc 4"/>
    <w:basedOn w:val="Normal"/>
    <w:next w:val="Normal"/>
    <w:autoRedefine/>
    <w:uiPriority w:val="39"/>
    <w:semiHidden/>
    <w:unhideWhenUsed/>
    <w:rsid w:val="00896F72"/>
    <w:pPr>
      <w:tabs>
        <w:tab w:val="left" w:pos="2880"/>
        <w:tab w:val="right" w:leader="dot" w:pos="9360"/>
      </w:tabs>
      <w:spacing w:after="240"/>
      <w:ind w:left="2160" w:right="432"/>
    </w:pPr>
  </w:style>
  <w:style w:type="paragraph" w:styleId="TOC5">
    <w:name w:val="toc 5"/>
    <w:basedOn w:val="Normal"/>
    <w:next w:val="Normal"/>
    <w:autoRedefine/>
    <w:uiPriority w:val="39"/>
    <w:semiHidden/>
    <w:unhideWhenUsed/>
    <w:rsid w:val="00896F72"/>
    <w:pPr>
      <w:tabs>
        <w:tab w:val="left" w:pos="3600"/>
        <w:tab w:val="right" w:leader="dot" w:pos="9360"/>
      </w:tabs>
      <w:spacing w:after="240"/>
      <w:ind w:left="2880" w:right="432"/>
    </w:pPr>
  </w:style>
  <w:style w:type="paragraph" w:styleId="TOC6">
    <w:name w:val="toc 6"/>
    <w:basedOn w:val="Normal"/>
    <w:next w:val="Normal"/>
    <w:autoRedefine/>
    <w:uiPriority w:val="39"/>
    <w:semiHidden/>
    <w:unhideWhenUsed/>
    <w:rsid w:val="00896F72"/>
    <w:pPr>
      <w:tabs>
        <w:tab w:val="left" w:pos="4320"/>
        <w:tab w:val="right" w:leader="dot" w:pos="9360"/>
      </w:tabs>
      <w:spacing w:after="240"/>
      <w:ind w:left="3600" w:right="432"/>
    </w:pPr>
  </w:style>
  <w:style w:type="paragraph" w:styleId="TOC7">
    <w:name w:val="toc 7"/>
    <w:basedOn w:val="Normal"/>
    <w:next w:val="Normal"/>
    <w:autoRedefine/>
    <w:uiPriority w:val="39"/>
    <w:semiHidden/>
    <w:unhideWhenUsed/>
    <w:rsid w:val="00896F72"/>
    <w:pPr>
      <w:tabs>
        <w:tab w:val="left" w:pos="5040"/>
        <w:tab w:val="right" w:leader="dot" w:pos="9360"/>
      </w:tabs>
      <w:spacing w:after="240"/>
      <w:ind w:left="4320" w:right="432"/>
    </w:pPr>
  </w:style>
  <w:style w:type="paragraph" w:styleId="TOC8">
    <w:name w:val="toc 8"/>
    <w:basedOn w:val="Normal"/>
    <w:next w:val="Normal"/>
    <w:autoRedefine/>
    <w:uiPriority w:val="39"/>
    <w:semiHidden/>
    <w:unhideWhenUsed/>
    <w:rsid w:val="00896F72"/>
    <w:pPr>
      <w:tabs>
        <w:tab w:val="left" w:pos="5760"/>
        <w:tab w:val="right" w:leader="dot" w:pos="9360"/>
      </w:tabs>
      <w:spacing w:after="240"/>
      <w:ind w:left="5040" w:right="432"/>
    </w:pPr>
  </w:style>
  <w:style w:type="paragraph" w:styleId="TOC9">
    <w:name w:val="toc 9"/>
    <w:basedOn w:val="Normal"/>
    <w:next w:val="Normal"/>
    <w:autoRedefine/>
    <w:uiPriority w:val="39"/>
    <w:semiHidden/>
    <w:unhideWhenUsed/>
    <w:rsid w:val="00896F72"/>
    <w:pPr>
      <w:tabs>
        <w:tab w:val="left" w:pos="6480"/>
        <w:tab w:val="right" w:leader="dot" w:pos="9360"/>
      </w:tabs>
      <w:spacing w:after="240"/>
      <w:ind w:left="5760" w:right="432"/>
    </w:pPr>
  </w:style>
  <w:style w:type="paragraph" w:styleId="ListParagraph">
    <w:name w:val="List Paragraph"/>
    <w:basedOn w:val="Normal"/>
    <w:uiPriority w:val="34"/>
    <w:rsid w:val="00E77835"/>
    <w:pPr>
      <w:ind w:left="720"/>
      <w:contextualSpacing/>
    </w:pPr>
  </w:style>
  <w:style w:type="character" w:styleId="Strong">
    <w:name w:val="Strong"/>
    <w:basedOn w:val="DefaultParagraphFont"/>
    <w:uiPriority w:val="22"/>
    <w:qFormat/>
    <w:rsid w:val="003238A3"/>
    <w:rPr>
      <w:b/>
      <w:bCs/>
    </w:rPr>
  </w:style>
  <w:style w:type="paragraph" w:styleId="HeadingBody1" w:customStyle="1">
    <w:name w:val="HeadingBody 1"/>
    <w:basedOn w:val="Normal"/>
    <w:next w:val="BodyText"/>
    <w:link w:val="HeadingBody1Char"/>
    <w:uiPriority w:val="49"/>
    <w:semiHidden/>
    <w:rsid w:val="00B74DB2"/>
    <w:pPr>
      <w:widowControl w:val="0"/>
      <w:autoSpaceDE w:val="0"/>
      <w:autoSpaceDN w:val="0"/>
      <w:spacing w:after="240"/>
      <w:ind w:left="720" w:hanging="720"/>
      <w:jc w:val="both"/>
    </w:pPr>
    <w:rPr>
      <w:rFonts w:eastAsia="Arial" w:cs="Arial" w:asciiTheme="majorHAnsi" w:hAnsiTheme="majorHAnsi"/>
      <w:sz w:val="28"/>
      <w:szCs w:val="14"/>
    </w:rPr>
  </w:style>
  <w:style w:type="character" w:styleId="HeadingBody1Char" w:customStyle="1">
    <w:name w:val="HeadingBody 1 Char"/>
    <w:basedOn w:val="Heading1Char"/>
    <w:link w:val="HeadingBody1"/>
    <w:uiPriority w:val="49"/>
    <w:semiHidden/>
    <w:rsid w:val="00B74DB2"/>
    <w:rPr>
      <w:rFonts w:eastAsia="Arial" w:cs="Arial" w:asciiTheme="majorHAnsi" w:hAnsiTheme="majorHAnsi"/>
      <w:b w:val="0"/>
      <w:bCs w:val="0"/>
      <w:sz w:val="28"/>
      <w:szCs w:val="14"/>
    </w:rPr>
  </w:style>
  <w:style w:type="paragraph" w:styleId="SFPara-Clause" w:customStyle="1">
    <w:name w:val="SF Para - Clause"/>
    <w:qFormat/>
    <w:rsid w:val="00E26FD7"/>
    <w:pPr>
      <w:numPr>
        <w:numId w:val="9"/>
      </w:numPr>
      <w:spacing w:before="240" w:after="240"/>
      <w:outlineLvl w:val="0"/>
    </w:pPr>
    <w:rPr>
      <w:rFonts w:eastAsia="Times New Roman" w:cs="Times New Roman"/>
      <w:color w:val="000000"/>
    </w:rPr>
  </w:style>
  <w:style w:type="paragraph" w:styleId="SFParasubclause1" w:customStyle="1">
    <w:name w:val="SF Para subclause 1"/>
    <w:qFormat/>
    <w:rsid w:val="00E26FD7"/>
    <w:pPr>
      <w:numPr>
        <w:ilvl w:val="1"/>
        <w:numId w:val="9"/>
      </w:numPr>
      <w:spacing w:before="120" w:after="240"/>
      <w:outlineLvl w:val="1"/>
    </w:pPr>
    <w:rPr>
      <w:color w:val="000000"/>
      <w:sz w:val="22"/>
      <w:szCs w:val="22"/>
    </w:rPr>
  </w:style>
  <w:style w:type="paragraph" w:styleId="SFParasubclause2" w:customStyle="1">
    <w:name w:val="SF Para subclause 2"/>
    <w:qFormat/>
    <w:rsid w:val="00E26FD7"/>
    <w:pPr>
      <w:numPr>
        <w:ilvl w:val="2"/>
        <w:numId w:val="9"/>
      </w:numPr>
      <w:spacing w:before="120" w:after="240"/>
      <w:outlineLvl w:val="2"/>
    </w:pPr>
    <w:rPr>
      <w:rFonts w:eastAsia="Times New Roman" w:cs="Times New Roman"/>
      <w:color w:val="000000"/>
    </w:rPr>
  </w:style>
  <w:style w:type="paragraph" w:styleId="SFParasubclause3" w:customStyle="1">
    <w:name w:val="SF Para subclause 3"/>
    <w:qFormat/>
    <w:rsid w:val="00E26FD7"/>
    <w:pPr>
      <w:numPr>
        <w:ilvl w:val="3"/>
        <w:numId w:val="9"/>
      </w:numPr>
      <w:spacing w:before="120" w:after="240"/>
      <w:outlineLvl w:val="3"/>
    </w:pPr>
    <w:rPr>
      <w:rFonts w:eastAsia="Times New Roman" w:cs="Times New Roman"/>
      <w:color w:val="000000"/>
    </w:rPr>
  </w:style>
  <w:style w:type="character" w:styleId="Title-Clause" w:customStyle="1">
    <w:name w:val="Title - Clause"/>
    <w:basedOn w:val="DefaultParagraphFont"/>
    <w:uiPriority w:val="1"/>
    <w:rsid w:val="00E26FD7"/>
    <w:rPr>
      <w:rFonts w:ascii="Times New Roman" w:hAnsi="Times New Roman" w:cs="Times New Roman"/>
      <w:b w:val="0"/>
      <w:dstrike w:val="0"/>
      <w:color w:val="000000"/>
      <w:sz w:val="24"/>
      <w:u w:val="singl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Kinney@rosenthalinc.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file>